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ESG communications drown audiences in data without design. I turn carbon-market diligence and impact research into audience-ready graphics for reports, events, and digital channels.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Carbon Forward Conference Lead-Magnet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Served as deputy team lead for a real-client Carbon Forward engagement, steering research and delivery toward a conference lead magnet grounded in carbon-market diligence.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Accelerated delivery by reusing validated carbon-credit and ESG research from the Redshaw engagement while rebuilding the message for Carbon Forward’s audience and lead-generation objective.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Creativity; Design Thinking in Web Design; Design 1;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A4ECD18-7801-49E3-81F7-90ABAF9E8662}"/>
    <w:embedBold r:id="rId2" w:fontKey="{2AA78E84-0714-4832-93BC-C6373256F3E9}"/>
    <w:embedItalic r:id="rId3" w:fontKey="{BEE7FAC2-AC29-4B20-A475-FC20B43D57FE}"/>
    <w:embedBoldItalic r:id="rId4" w:fontKey="{76DC87D0-A19B-4B6B-B206-0E43E1C02C5E}"/>
  </w:font>
  <w:font w:name="Newsreader Resume Title">
    <w:embedRegular r:id="rId5" w:fontKey="{B739F68B-CF08-408F-B968-E232629E9BA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