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s/text-Regular.odttf" ContentType="application/vnd.openxmlformats-officedocument.obfuscatedFont"/>
  <Override PartName="/word/fonts/text-Bold.odttf" ContentType="application/vnd.openxmlformats-officedocument.obfuscatedFont"/>
  <Override PartName="/word/fonts/text-Italic.odttf" ContentType="application/vnd.openxmlformats-officedocument.obfuscatedFont"/>
  <Override PartName="/word/fonts/text-BoldItalic.odttf" ContentType="application/vnd.openxmlformats-officedocument.obfuscatedFont"/>
  <Override PartName="/word/fonts/title-Regular.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Rule="exact" w:line="560"/>
        <w:jc w:val="center"/>
      </w:pPr>
      <w:r>
        <w:rPr>
          <w:rFonts w:ascii="Newsreader Resume Title" w:hAnsi="Newsreader Resume Title" w:cs="Newsreader Resume Title"/>
          <w:b w:val="0"/>
          <w:i w:val="0"/>
          <w:sz w:val="40"/>
          <w:spacing w:val="-6"/>
          <w14:ligatures w14:val="standardContextual"/>
        </w:rPr>
        <w:t>Kartavya Jharwal</w:t>
      </w:r>
    </w:p>
    <w:p>
      <w:pPr>
        <w:spacing w:before="140" w:after="140" w:lineRule="exact" w:line="280"/>
        <w:jc w:val="center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lining"/>
          <w14:numSpacing w14:val="tabular"/>
        </w:rPr>
        <w:t>London, UK | +44 7762 941472 | Kartavyajharwal@gmail.com | kartavya.tech | https://linkedin.com/in/kartavyajharwal | https://github.com/Kartavya-Jharwal</w:t>
      </w:r>
    </w:p>
    <w:p>
      <w:pPr>
        <w:keepNext/>
        <w:spacing w:before="0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GROWTH PROFILE</w:t>
      </w:r>
    </w:p>
    <w:p>
      <w:pPr>
        <w:spacing w:lineRule="exact" w:line="280" w:after="7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D2C marketplaces burning cash on paid acquisition need scrappy loops. I build content funnels, conversion experiments, and referral mechanics that grow users without proportional spend.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RELEVANT EXPERIENCE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Operations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2021–Present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and maintained two production codebases governing customer acquisition, education delivery, research publishing, and internal operations - with deployment cadence tied to licensing releases.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Structured AstroPatshala research publishing and course licensing as repeatable GTM assets - pricing tiers, channel partners, and delivery packaging aligned to the operating model.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Margadarshaka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Co-Founder and Technical Lead, Remote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Required human review after every AI-handled call - no unattended counselling sessions and no automated judgment on safeguarding-sensitive calls.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Set stage gates on demand, delivery economics, and human-review cost - testing each before authorising the next build tranche.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Founder and President</w:t>
            </w: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</w:rPr>
              <w:t xml:space="preserve"> </w:t>
            </w:r>
            <w:r>
              <w:t xml:space="preserve"> </w:t>
            </w: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Hult AI Collective, 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2025–Present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Expanded practical AI learning beyond club events through a guest lecture on agentic workflows and AI-assisted software development for the wider student body.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Used partner-fit research to prioritise institutional and commercial prospects, then tailored outreach and follow-up into a sponsorship pipeline for HAC events and programmes.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RELATED PROJECTS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AstroPatshala AARRR Growth Strategy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Jan 2024–Present</w:t>
            </w:r>
          </w:p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Mapped the AARRR funnel across AstroPatshala’s consulting, education, and research offers, linking acquisition, activation, retention, referral, and revenue to concrete operating choices.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Turned the funnel into an operating roadmap spanning channel tests, onboarding, repeat-service triggers, referral loops, and pricing actions.</w:t>
      </w:r>
    </w:p>
    <w:p>
      <w:pPr>
        <w:spacing w:before="0" w:after="140" w:lineRule="exact" w:line="2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JEKI Cross-Channel Campaign for AfriKids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 w:val="0"/>
                <w:sz w:val="22"/>
                <w14:ligatures w14:val="standardContextual"/>
                <w14:numForm w14:val="lining"/>
                <w14:numSpacing w14:val="tabular"/>
              </w:rPr>
              <w:t>Sep 2024–Dec 2024</w:t>
            </w:r>
          </w:p>
        </w:tc>
      </w:tr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</w:rPr>
              <w:t>Client Advisory</w:t>
            </w:r>
          </w:p>
        </w:tc>
        <w:tc>
          <w:tcPr>
            <w:tcW w:type="dxa" w:w="2100"/>
          </w:tcPr>
          <w:p/>
        </w:tc>
      </w:tr>
    </w:tbl>
    <w:p>
      <w:pPr>
        <w:spacing w:before="0" w:after="0" w:lineRule="exact" w:line="2"/>
      </w:pP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Designed JEKI as a biannual alternative-reality campaign spanning 5 participation channels - web puzzles, city clues, pop-ups, Discord, and merchandise - to convert play into charity awareness and donations.</w:t>
      </w:r>
    </w:p>
    <w:p>
      <w:pPr>
        <w:spacing w:before="0" w:after="50" w:lineRule="exact" w:line="260"/>
        <w:ind w:left="200" w:hanging="1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>•</w:t>
      </w:r>
      <w: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Built 4 launch assets - the JEKI and Yago website prototype, a dual-brand system, poster series, and cross-channel journey - linking public discovery to an invite-only creative community.</w:t>
      </w:r>
    </w:p>
    <w:p>
      <w:pPr>
        <w:keepNext/>
        <w:spacing w:before="126" w:after="140" w:lineRule="exact" w:line="280"/>
        <w:pBdr>
          <w:bottom w:val="single" w:sz="4" w:space="7" w:color="8C8C8C"/>
        </w:pBdr>
      </w:pPr>
      <w:r>
        <w:rPr>
          <w:rFonts w:ascii="Newsreader Resume Text" w:hAnsi="Newsreader Resume Text" w:cs="Newsreader Resume Text"/>
          <w:b w:val="0"/>
          <w:i w:val="0"/>
          <w:sz w:val="22"/>
          <w:spacing w:val="13"/>
          <w14:ligatures w14:val="standardContextual"/>
        </w:rPr>
        <w:t>EDUCATION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3"/>
        <w:gridCol w:w="5103"/>
      </w:tblGrid>
      <w:tr>
        <w:tc>
          <w:tcPr>
            <w:tcW w:type="dxa" w:w="7965"/>
          </w:tcPr>
          <w:p>
            <w:pPr>
              <w:spacing w:lineRule="exact" w:line="280"/>
            </w:pPr>
            <w:r>
              <w:rPr>
                <w:rFonts w:ascii="Newsreader Resume Text" w:hAnsi="Newsreader Resume Text" w:cs="Newsreader Resume Text"/>
                <w:b/>
                <w:i w:val="0"/>
                <w:sz w:val="22"/>
                <w14:ligatures w14:val="standardContextual"/>
              </w:rPr>
              <w:t>Hult International Business School | London, UK</w:t>
            </w:r>
          </w:p>
        </w:tc>
        <w:tc>
          <w:tcPr>
            <w:tcW w:type="dxa" w:w="2100"/>
          </w:tcPr>
          <w:p>
            <w:pPr>
              <w:spacing w:lineRule="exact" w:line="280"/>
              <w:jc w:val="right"/>
            </w:pPr>
            <w:r>
              <w:rPr>
                <w:rFonts w:ascii="Newsreader Resume Text" w:hAnsi="Newsreader Resume Text" w:cs="Newsreader Resume Text"/>
                <w:b w:val="0"/>
                <w:i/>
                <w:sz w:val="22"/>
                <w14:ligatures w14:val="standardContextual"/>
                <w14:numForm w14:val="lining"/>
                <w14:numSpacing w14:val="tabular"/>
              </w:rPr>
              <w:t>Expected May 2027</w:t>
            </w:r>
          </w:p>
        </w:tc>
      </w:tr>
    </w:tbl>
    <w:p>
      <w:pPr>
        <w:spacing w:before="0" w:after="0" w:lineRule="exact" w:line="2"/>
      </w:pPr>
    </w:p>
    <w:p>
      <w:pPr>
        <w:spacing w:lineRule="exact" w:line="280" w:after="0"/>
      </w:pP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Triple Crown Business School | Bachelor of Business Administration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Double Major: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Entrepreneurship and Design (Double Major)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/>
          <w:i/>
          <w:sz w:val="22"/>
          <w14:ligatures w14:val="standardContextual"/>
        </w:rPr>
        <w:t>GPA: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/>
          <w:i w:val="0"/>
          <w:sz w:val="22"/>
          <w14:ligatures w14:val="standardContextual"/>
          <w14:numForm w14:val="oldstyle"/>
          <w14:numSpacing w14:val="proportional"/>
        </w:rPr>
        <w:t>3.76/4.00 | UK Firsts honors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Honors: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Dean’s List for consecutive terms; Academic Excellence Scholarship; Social Impact Award; Full-Ride Master’s Grant</w:t>
      </w:r>
    </w:p>
    <w:p>
      <w:pPr>
        <w:spacing w:lineRule="exact" w:line="280"/>
        <w:ind w:left="140"/>
      </w:pPr>
      <w:r>
        <w:rPr>
          <w:rFonts w:ascii="Newsreader Resume Text" w:hAnsi="Newsreader Resume Text" w:cs="Newsreader Resume Text"/>
          <w:b w:val="0"/>
          <w:i/>
          <w:sz w:val="22"/>
          <w14:ligatures w14:val="standardContextual"/>
        </w:rPr>
        <w:t>Relevant Coursework: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</w:rPr>
        <w:t xml:space="preserve"> </w:t>
      </w:r>
      <w:r>
        <w:rPr>
          <w:rFonts w:ascii="Newsreader Resume Text" w:hAnsi="Newsreader Resume Text" w:cs="Newsreader Resume Text"/>
          <w:b w:val="0"/>
          <w:i w:val="0"/>
          <w:sz w:val="22"/>
          <w14:ligatures w14:val="standardContextual"/>
          <w14:numForm w14:val="oldstyle"/>
          <w14:numSpacing w14:val="proportional"/>
        </w:rPr>
        <w:t>Creativity; Design Thinking in Practice; Start-up Challenge; Design Thinking in Web Design; Acting 101: Voice, Body, and Character</w:t>
      </w:r>
    </w:p>
    <w:sectPr w:rsidR="00FC693F" w:rsidRPr="0006063C" w:rsidSect="00034616">
      <w:pgSz w:w="11906" w:h="16838"/>
      <w:pgMar w:top="656" w:right="850" w:bottom="1749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Newsreader Resume Text">
    <w:embedRegular r:id="rId1" w:fontKey="{2EC1DE6F-79BE-4C6B-9F93-66D34FC36190}"/>
    <w:embedBold r:id="rId2" w:fontKey="{17DB291B-CA37-451D-ACAC-7FA33627B8E2}"/>
    <w:embedItalic r:id="rId3" w:fontKey="{BE4AAE09-5BCC-4821-89E4-1A973B631740}"/>
    <w:embedBoldItalic r:id="rId4" w:fontKey="{0C6A32B6-6434-400F-888C-FDABB95AA525}"/>
  </w:font>
  <w:font w:name="Newsreader Resume Title">
    <w:embedRegular r:id="rId5" w:fontKey="{43479DF1-96E5-4388-9ECB-B188579C8A0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280" w:before="0" w:after="0"/>
    </w:pPr>
    <w:rPr>
      <w:rFonts w:ascii="Newsreader Resume Text" w:hAnsi="Newsreader Resume Text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_rels/fontTable.xml.rels><?xml version='1.0' encoding='utf-8'?>
<Relationships xmlns="http://schemas.openxmlformats.org/package/2006/relationships"><Relationship Id="rId1" Type="http://schemas.openxmlformats.org/officeDocument/2006/relationships/font" Target="fonts/text-Regular.odttf"/><Relationship Id="rId2" Type="http://schemas.openxmlformats.org/officeDocument/2006/relationships/font" Target="fonts/text-Bold.odttf"/><Relationship Id="rId3" Type="http://schemas.openxmlformats.org/officeDocument/2006/relationships/font" Target="fonts/text-Italic.odttf"/><Relationship Id="rId4" Type="http://schemas.openxmlformats.org/officeDocument/2006/relationships/font" Target="fonts/text-BoldItalic.odttf"/><Relationship Id="rId5" Type="http://schemas.openxmlformats.org/officeDocument/2006/relationships/font" Target="fonts/title-Regular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