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a five-workstation, eleven-drive hotel IT estate live through the turnaround by running cabling, storage health checks, and downtime-window patches so front desk and back office did not drop during peak service.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Operated guest WiFi across property gateways with per-arrival password rotation instead of shared lobby credentials, then extended network topology when a new router was added so mesh routing stayed coherent for rooms and back office.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Rejected a premature full build after feasibility testing exposed payer-user misalignment and counselling-liability risk - stopping spend before scaled commitment.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Crestara Smart-Room Digital Twin and Privacy-First IoT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Engineered privacy into the architecture through checkout-triggered deletion, guest-requested erasure, transparent audits, local processing, and removable devices.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digital twin into an underwriting model testing capital cost, occupancy, energy, maintenance, subscription revenue, and payback across deployment scenarios.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backup and data-sync scripts with recovery paths tested during planned downtime windows.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Wrote weekly revenue ingestion scripts feeding the Excel and Power BI reporting layer that paired with front-desk reconciliation controls.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Strategic Ambiguity; Corporate Entrepreneurship; Fundamentals of Business Analytics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0BF6B56-8295-4C1D-8C11-94199C022F2E}"/>
    <w:embedBold r:id="rId2" w:fontKey="{685A492D-36BA-4262-B8CA-8871A83C1794}"/>
    <w:embedItalic r:id="rId3" w:fontKey="{375FE74C-C3B4-4FB1-A66C-C9CAD18E77AB}"/>
    <w:embedBoldItalic r:id="rId4" w:fontKey="{99555BB6-81F3-4EC5-8D6A-859EBD3913A3}"/>
  </w:font>
  <w:font w:name="Newsreader Resume Title">
    <w:embedRegular r:id="rId5" w:fontKey="{DCE43518-F85F-4A27-B526-2B166792334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