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PROGRAMS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Accelerators lose founder trust when programming feels generic. I design mentorship tracks, cohort rituals, and community operating systems that convert demo days into sustained deal flow.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Used partner-fit research to prioritise institutional and commercial prospects, then tailored outreach and follow-up into a sponsorship pipeline for HAC events and programmes.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 - no unattended counselling sessions and no automated judgment on safeguarding-sensitive calls.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OULM - One YMCA Youth Community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Led a 5-person team in designing OULM across 3 service areas - Bedfordshire, Hertfordshire, and Luton - moving young people from digital discovery and booking into Welcome Areas and the Woodland Cafe.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Shifted the growth model away from daily active users toward offline belonging - building accountability architecture with intentional verification friction for under-16 access.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IHCL/Taj Hotels Corporate Innovation Diagnostic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Independent Strategic Teardown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Carved 30% of IHCL’s proposed INR 5,000 crore envelope into an INR 1,500 crore Box 3 portfolio across Qmin, ama, Tree of Life, and new ventures, with fuzzy gates tied to repeat purchase, NPS, contribution margin, and kill thresholds.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an INR 150 crore, five-year Tajness Transmission Academy to prepare 2,000 to 2,500 staff annually and protect service consistency during expansion.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Building Next-Generation Startups; Design Thinking in Web Design; Strategic Ambiguity; Corporate Entrepreneurship; Design Thinking in Practice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FF7B7115-442C-4120-AE40-7E10FF56167A}"/>
    <w:embedBold r:id="rId2" w:fontKey="{77C17B1D-9348-40F2-BDC8-7E8FA287F1AF}"/>
    <w:embedItalic r:id="rId3" w:fontKey="{BBCDAC23-A695-4684-9C97-21D70EC48803}"/>
    <w:embedBoldItalic r:id="rId4" w:fontKey="{785F85CB-3465-416B-A09F-7CD1DA32863A}"/>
  </w:font>
  <w:font w:name="Newsreader Resume Title">
    <w:embedRegular r:id="rId5" w:fontKey="{54569C42-319B-4B2A-BA66-7B3EA57DDE8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