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PROGRAMS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University innovation hubs need student-led momentum without admin drag. I build programming calendars, peer mentorship, and event cadences that keep campus ventures visible to recruiters and investors.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the hackathon’s closing programme on schedule after confirmed external speakers withdrew by designing and delivering the replacement AI workshop at short notice.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Margadarshaka’s pre-scale GTM as gated experiments - demand tests, counsellor capacity checks, and unit-economics checkpoints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early cap-table scenarios and angel-outreach materials while mapping investor fit against counselling-liability and payer-user alignment risks.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Published a frozen static snapshot with zero runtime data dependencies and MkDocs provenance docs so templates and models stayed auditable beyond a single assignment.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Extended the critique of design education into 7 connected formats: curriculum, essays, short film, music score, microsite, documentation, and spatial manifestation.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Entrepreneurship; Design Thinking in Practice; Future Proofing Challenge; Building Next-Generation Startups; Design Thinking in Web Design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0442A3E2-09BD-4DDB-A9BC-85E7A28305AB}"/>
    <w:embedBold r:id="rId2" w:fontKey="{34886992-2A94-4B9B-B80E-0E3B03ABDE45}"/>
    <w:embedItalic r:id="rId3" w:fontKey="{A1246B38-91B7-4E6A-A0CA-32C2BAC5BC5A}"/>
    <w:embedBoldItalic r:id="rId4" w:fontKey="{8E1277F8-F614-4518-8BAF-7ED9415F9229}"/>
  </w:font>
  <w:font w:name="Newsreader Resume Title">
    <w:embedRegular r:id="rId5" w:fontKey="{72608A1B-F601-4A48-BDC1-A5F30F66D6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