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DESIGN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Immersive products confuse users when gesture logic is opaque. I design spatial interaction patterns, service journeys, and prototype tests that make complex digital experiences legible.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Margadarshaka delivery in two-week Scrum cadences - backlog grooming, design handoffs, and Kanban visibility across engineering and counselling stakeholders.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Designed a psychometric intake layer for career-guidance flows - translating trait signals into counsellor-ready prompts without automating judgment calls.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AstroPatshala’s repeatable operating model by defining how pricing and licensing governed packaged services, market entry, and delivery.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Structured AstroPatshala research publishing and course licensing as repeatable GTM assets - pricing tiers, channel partners, and delivery packaging aligned to the operating model.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OULM - One YMCA Youth Community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Client Advisory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Led a 5-person team in designing OULM across 3 service areas - Bedfordshire, Hertfordshire, and Luton - moving young people from digital discovery and booking into Welcome Areas and the Woodland Cafe.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Delivered six connected outputs - technical MVP, identity, design tokens, skeleton states, posters, and venue touchpoints - as a safeguarding-aware service ecosystem with legible handoffs.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Presentation Format Conversion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2025–Dec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bidirectional round-tripping among PPTX, Google Slides, and HTML inside a local-first Electron shell, preserving animation intent through an extensible plug-in layer.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Reduced format lock-in by separating the conversion core from format adapters, creating a practical path for new import and export targets without rebuilding the desktop application.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Design 1; Creativity; Strategic Ambiguity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4F3102B4-380E-4305-9AA2-38A96570D7B4}"/>
    <w:embedBold r:id="rId2" w:fontKey="{8A1E8EE6-2FF7-440B-A86F-112AADCF05A7}"/>
    <w:embedItalic r:id="rId3" w:fontKey="{17C05938-DC0A-42E1-A482-A239E71C5EAA}"/>
    <w:embedBoldItalic r:id="rId4" w:fontKey="{47E64007-6B1B-4486-BFC6-8A3F7BED5D74}"/>
  </w:font>
  <w:font w:name="Newsreader Resume Title">
    <w:embedRegular r:id="rId5" w:fontKey="{91EBAD22-0BA4-423C-B917-C313952DA99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