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INVESTMENT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venture arms need innovation diagnostics tied to parent strategy. I evaluate venture governance, pilot fit, and portfolio alignment for CVC investment committees.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reusable seven-part diligence framework spanning market attractiveness, operator quality, asset condition, legal exposure, commercial fit, valuation logic, and post-transaction execution risk.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weekly rooms from four room-nights at takeover to a peak week of five full-property sell-out days - market timing helped, but the ramp held only after corporate MICE banquets ran morning to evening and walk-in family lunches shared the same kitchen and service spine.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IHCL/Taj Hotels Corporate Innovation Diagnostic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Carved 30% of IHCL’s proposed INR 5,000 crore envelope into an INR 1,500 crore Box 3 portfolio across Qmin, ama, Tree of Life, and new ventures, with fuzzy gates tied to repeat purchase, NPS, contribution margin, and kill thresholds.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Generated the 20-slide executive deck programmatically from the end-to-end diagnostic, preserving analytical consistency across the board narrative.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Duve Venture Diligence and Industry Tearsheet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Spec Strategy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industry tearsheet and diligence pack for an anonymised London VC evaluating Tel Aviv-based Duve during its bridge between seed and Series A.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Framed Duve as a conditional follow-up - not a clean proceed/pass - naming PMS integration dependency, rollout friction, and customer concentration as diligence gates before conviction.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Entrepreneurship; Design Thinking in Practice; Social Impact Challenge; Creativity;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CBD491C9-3E4D-4DE8-B524-DC0360999AC2}"/>
    <w:embedBold r:id="rId2" w:fontKey="{BAF34AA2-BDF0-4B16-9183-CD15FBE0498C}"/>
    <w:embedItalic r:id="rId3" w:fontKey="{C855B8E4-9E52-46A1-B987-63A123454175}"/>
    <w:embedBoldItalic r:id="rId4" w:fontKey="{C33FF113-A0C1-430C-B59E-84C6FEF23A8D}"/>
  </w:font>
  <w:font w:name="Newsreader Resume Title">
    <w:embedRegular r:id="rId5" w:fontKey="{52F3E5A2-642B-40D1-BD32-24B332B8D2D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