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MARKETS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Boutique M&amp;A shops need concentrated deal materials fast. I build industry tearsheets, commercial exhibits, and buyer narratives for mid-market transactions.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reusable seven-part diligence framework spanning market attractiveness, operator quality, asset condition, legal exposure, commercial fit, valuation logic, and post-transaction execution risk.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Duve Venture Diligence and Industry Tearsheet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Spec Strategy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industry tearsheet and diligence pack for an anonymised London VC evaluating Tel Aviv-based Duve during its bridge between seed and Series A.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Duve’s investment case against PMS dependencies, hotel-operator workflows, rollout friction, customer concentration, downside exposure, and integration upside.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Building Next-Generation Startups; Design Thinking in Web Design; Design 1;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51D251A6-BF82-43C6-A8DE-F9A7CA967C08}"/>
    <w:embedBold r:id="rId2" w:fontKey="{8D7EF533-47B0-47A5-BC0D-B950CAD2A5AC}"/>
    <w:embedItalic r:id="rId3" w:fontKey="{D29371AB-17FB-4AA8-BFB7-7BB190FC9B8F}"/>
    <w:embedBoldItalic r:id="rId4" w:fontKey="{007794C8-6055-4F2A-94E0-1B8B17F93B39}"/>
  </w:font>
  <w:font w:name="Newsreader Resume Title">
    <w:embedRegular r:id="rId5" w:fontKey="{E79F5F6A-66B3-4A5D-BD3C-E2F049BCCA2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