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MARKETS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Capital-markets teams need models that survive a shock window. I run simulated-capital portfolio work, factor diagnostics, and Monte Carlo stress, then write the committee memo from the logs - not from slide inventiveness.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- and subsequently helped execute - the approximately GBP 40,000 Shimla hotel lease after integrating market conditions, prior operator books, asset quality, downside risk, operating fit, and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reusable seven-part diligence framework spanning market attractiveness, operator quality, asset condition, legal exposure, commercial fit, valuation logic, and post-transaction execution risk.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Grew weekly rooms from four room-nights at takeover to a peak week of five full-property sell-out days - market timing helped, but the ramp held only after corporate MICE banquets ran morning to evening and walk-in family lunches shared the same kitchen and service spine.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Locked the demand spike into sustained commercial forms - repeat corporate packages, alternate booking structures beyond ad-hoc nights, and written operating playbooks - so rooms, banquet dayparts, and walk-in F&amp;B could hold volume after the peak week.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Adaptive Efficiency - BWC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a USD 1 million StockTrak mandate as simulated capital under IPS single-name caps and bi-weekly committee diaries - eight people, firewalled from live brokerage - with factor sleeves and GANET-informed macro overlays across AI, defence, financials, and defensive retail.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Moved into cash and inverse-ETF hedges within hours of the 2 April tariff shock via the Section 5 override, containing the trough at -6.44% versus SPY at -11.72% (528 bp downside advantage).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BWC Quantitative Portfolio Audit Engine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reproducible Python 3.13 research stack (uv, PEP 517) implementing Fama-French three-factor OLS, Black-Litterman allocation, and Kelly sizing from explicit assumptions rather than packaged screener defaults.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Stress-tested the BWC book with 10,000 Monte Carlo paths and Cornish-Fisher VaR (5% VaR -2.56%, Sortino 3.49, Calmar 6.34, Jensen alpha 0.686), keeping simulation firewalled from live execution.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Creativity; Business Strategy; Design Thinking in Practice; Design Thinking in Web Design; Acting 101: Voice, Body, and Character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F7AC3590-8642-4106-BE64-E5F690F3B98D}"/>
    <w:embedBold r:id="rId2" w:fontKey="{09466979-527D-40B4-BE5E-97B13BA032FB}"/>
    <w:embedItalic r:id="rId3" w:fontKey="{133821FB-5F5A-4635-8E15-A8A46A5B8648}"/>
    <w:embedBoldItalic r:id="rId4" w:fontKey="{D6571411-8A8D-495C-AEF5-BCAEEF689A09}"/>
  </w:font>
  <w:font w:name="Newsreader Resume Title">
    <w:embedRegular r:id="rId5" w:fontKey="{E5BCCEA3-8A05-4E2D-8681-0250B3ED600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