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MARKETS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combine regime-aware portfolio work and GANET models into growth-equity diligence with traceable evidence.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seven-part diligence framework covering market, operator, asset, legal, commercial, valuation, and execution risks.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and helped execute an approximately GBP 40,000 Shimla hotel lease, assessing markets, books, asset quality, downside, operating fit, and valuation.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Grew from four weekly room-nights to five sell-out days in a peak week, aided by market timing, corporate MICE banquets, and walk-in lunches.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Advanced buyer and management leads through property pitchbooks, operating-economics presentations, and tracked follow-up.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two production codebases for acquisition, education, publishing, and operations, aligning deployments with licensing releases.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Adaptive Efficiency - BWC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the book inside 25% single-name caps with weekly drift checks, rebalancing Foundation (~1.0 beta), Growth (1.1), Crisis (0.0), and Ceasefire (0.6) sleeves as regime labels flipped.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Defended the mandate with a 2,600-word investment-committee memo and 20-slide oral defence (422/430) covering architecture, logs, strategy, and client postmortem.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GANET as a personal finance vault and public digital garden: reusable models and templates, papers, study notes, opinionated guides, and beginner roadmaps.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ingest-validate-attribute-chart flow with reusable Plotly loops for desk-versus-overlay comparisons and three-dimensional implied-volatility surfaces.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Start-up Challenge; Design Thinking in Web Design; Creativity; Corporate Entrepreneurship;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E0E4701C-8B94-4493-B788-303A33CDE0A5}"/>
    <w:embedBold r:id="rId2" w:fontKey="{1F599696-9797-4AE7-9C54-76DE781E1DBB}"/>
    <w:embedItalic r:id="rId3" w:fontKey="{A36C198E-02AD-4D33-8E53-F5A6520DC4F0}"/>
    <w:embedBoldItalic r:id="rId4" w:fontKey="{CA618456-B0B8-41F0-BA33-F60B0DBC17ED}"/>
  </w:font>
  <w:font w:name="Newsreader Resume Title">
    <w:embedRegular r:id="rId5" w:fontKey="{8D8061E8-E589-4EFF-8F69-CF3DDD1FCB9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