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0"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PROFESSIONAL SUMMARY</w:t>
      </w:r>
    </w:p>
    <w:p>
      <w:pPr>
        <w:spacing w:lineRule="exact" w:line="280" w:after="70"/>
      </w:pPr>
      <w:r>
        <w:rPr>
          <w:rFonts w:ascii="Newsreader Resume Text" w:hAnsi="Newsreader Resume Text" w:cs="Newsreader Resume Text"/>
          <w:b w:val="0"/>
          <w:i w:val="0"/>
          <w:sz w:val="22"/>
          <w14:ligatures w14:val="standardContextual"/>
          <w14:numForm w14:val="oldstyle"/>
          <w14:numSpacing w14:val="proportional"/>
        </w:rPr>
        <w:t>Transaction teams lose days to record gaps. I prepare corporate filings, diligence binders, and ESG-adjacent documentation with the filing discipline law-firm partners expect.</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SRBS Group</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Associate to the Managing Director,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Prepared a filing-ready legal addendum under counsel direction so counsel could meet a time-sensitive Indian Supreme Court deadline for a related family matter.</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Verified Indian corporate board resolutions and shareholder records against UK Companies House filings for multi-jurisdiction family-enterprise matters.</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Moved a 12-property portfolio - 8 apartments and 4 hostels - from construction coordination through commercial readiness into sales and leasing.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Independent Legal Documentation and Filing Support</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Jun 2024–Aug 2024</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Prepared filing-ready civil and intellectual-property drafts from counsel dictation and record bundles - affidavits, indexes, and procedural cross-checks before chamber submission.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Verified Indian corporate board resolutions and shareholder records against UK Companies House filings for multi-jurisdiction family-enterprise matters.</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Governance and Office Access Model</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Sep 2024–May 2025</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Produced a family-governance proposal defining decision rights, ownership, authority, information flow, accountability, and boundaries between family, business, and investment decisions.</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Modelled how traditional HUF families could work with a single-family office or shared multi-family office, preserving cultural and legal realities while professionalising investment, reporting, succession, and adviser coordination.</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Business Strategy; Corporate Entrepreneurship; Design Thinking in Practice; Design Thinking in Web Design; Creativity</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892738DD-7961-4D33-B4B3-A6B23E5B2276}"/>
    <w:embedBold r:id="rId2" w:fontKey="{24C3E2CD-8CA8-40B6-B11D-D53ADBEA2B7E}"/>
    <w:embedItalic r:id="rId3" w:fontKey="{2BBB42D4-DFED-48BE-B5CF-0E6674F6BAF3}"/>
    <w:embedBoldItalic r:id="rId4" w:fontKey="{3E568375-5FBC-4163-B9F2-A4B6DD80ABDD}"/>
  </w:font>
  <w:font w:name="Newsreader Resume Title">
    <w:embedRegular r:id="rId5" w:fontKey="{92D8F2EF-67E7-4307-8F4B-1DE460CB7862}"/>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