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SYSTEMS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design booking, volunteer, and accountability systems for repeatable community services.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call; prohibited unattended counselling and automated safeguarding judgments.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demand, delivery economics, and human-review cost before authorising each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OCR-digitised two years of kitchen registers into SKU data for par levels, preparation forecasts, and stock-variance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auditable Excel pricing model for 191 menu items, giving staff transparent formulas and repeatable decision rules.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OULM design team across Bedfordshire, Hertfordshire, and Luton, linking digital discovery and booking to community venues.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MVP, identity, tokens, skeleton states, posters, and venue touchpoints with safeguarding-aware service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month-two mobile-first front-desk and staff workflows for the ETA case, informed by the property’s daily operations.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room recovery and F&amp;B sales, including MICE and walk-in lunches, as distinct levers in turnaround lease valuation.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Social Impact Challenge;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DBE487C-DEF8-45D5-B8D2-5829B0834F35}"/>
    <w:embedBold r:id="rId2" w:fontKey="{95704F23-E8C8-462B-84F3-C95357D1C835}"/>
    <w:embedItalic r:id="rId3" w:fontKey="{59BADB9F-FC97-4346-ABCA-FF6E65F74BE0}"/>
    <w:embedBoldItalic r:id="rId4" w:fontKey="{F24681B4-6491-4202-AD68-9EF7C00F595E}"/>
  </w:font>
  <w:font w:name="Newsreader Resume Title">
    <w:embedRegular r:id="rId5" w:fontKey="{E8191978-6AB0-4E7D-AED8-5B08A86AC2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