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SYSTEMS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 design privacy-first operating models, venture governance, and lab-to-spinout pathways for deep-tech R&amp;D.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Tested demand, delivery economics, and human-review cost before authorising each build tranche.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pre-scale GTM experiments testing demand, counsellor capacity, and unit economics before marketing spend.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Siya The Restaurant, SRBS Group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2025–Jan 2026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Menu Engineering Consultant, Jaipur, India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 auditable Excel pricing model for 191 menu items, giving staff transparent formulas and repeatable decision rules.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OCR-digitised two years of kitchen registers into SKU data for par levels, preparation forecasts, and stock-variance checks.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Packaged research publishing and course licensing for GTM through pricing tiers, channel partners, and delivery formats.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Defined pricing and licensing for AstroPatshala’s packaged services, market entry, and delivery model.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Crestara Smart-Room Digital Twin and Privacy-First IoT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Engineered privacy into the architecture through checkout-triggered deletion, guest-requested erasure, transparent audits, local processing, and removable devices.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Crestara’s launch economics from GBP 50,000 seed funding plus GBP 12,000-15,000 founder and friends-and-family capital, pricing three hardware tiers at GBP 329-999 alongside subscriptions and GBP 800 annual maintenance contracts.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Leased Hotel Turnaround and Operating Model Strategy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Designed month-two mobile-first front-desk and staff workflows for the ETA case, informed by the property’s daily operations.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Modelled room recovery and F&amp;B sales, including MICE and walk-in lunches, as distinct levers in turnaround lease valuation.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Creativity; Design Thinking in Web Design; Design 1; Corporate Entrepreneurship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CDC94D25-75B3-42A5-A8B8-CC0F3A98D024}"/>
    <w:embedBold r:id="rId2" w:fontKey="{D57ABB10-B3C0-4ECA-827D-10CCC799C881}"/>
    <w:embedItalic r:id="rId3" w:fontKey="{29C01EFE-D2C7-4345-9325-26EE1C9D01FB}"/>
    <w:embedBoldItalic r:id="rId4" w:fontKey="{79C798E2-4CFB-4F1E-ABEA-B5CB5E12FEA3}"/>
  </w:font>
  <w:font w:name="Newsreader Resume Title">
    <w:embedRegular r:id="rId5" w:fontKey="{0201E349-4BA7-4CEE-8FDF-7440A014C46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