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SYSTEMS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design operating models, decision rights, and handoffs that help family enterprises coordinate growth across ventures.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pricing and licensing for AstroPatshala’s packaged services, market entry, and delivery model.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two production codebases for acquisition, education, publishing, and operations, aligning deployments with licensing releases.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and helped execute an approximately GBP 40,000 Shimla hotel lease, assessing markets, books, asset quality, downside, operating fit, and valuation.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the 8-day Shimla takeover through property and inventory checks, tenancy review, risk logs, stakeholder coordination, and documented handover.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and repriced a 191-item menu using margin and sales velocity to guide assortment, placement, pruning, and print layout.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auditable Excel pricing model for 191 menu items, giving staff transparent formulas and repeatable decision rules.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Family Governance and Office Access Model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Proposed decision rights, ownership, information flows, and accountability boundaries across family, business, and investment decisions.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Unbundled governance, reporting, diligence, succession, and specialist advice into family-office modules for Tier 2 and Tier 3 cities.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Leased Hotel Turnaround and Operating Model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month-two mobile-first front-desk and staff workflows for the ETA case, informed by the property’s daily operations.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Modelled room recovery and F&amp;B sales, including MICE and walk-in lunches, as distinct levers in turnaround lease valuation.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Design Thinking in Practice; Strategic Ambiguity; Design 1;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6FEBBCAF-7499-452D-BD95-9E49E5244BAA}"/>
    <w:embedBold r:id="rId2" w:fontKey="{48BF5417-8078-4BF4-9342-154CA3FB6DCE}"/>
    <w:embedItalic r:id="rId3" w:fontKey="{31036281-B39A-4365-9226-66D36BFAFB1C}"/>
    <w:embedBoldItalic r:id="rId4" w:fontKey="{FD444F3C-DCB2-49D7-941A-342A9EDA2CB2}"/>
  </w:font>
  <w:font w:name="Newsreader Resume Title">
    <w:embedRegular r:id="rId5" w:fontKey="{6C16D8F6-CC04-4130-AABF-307EFAEECD5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