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INVESTMENT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Early-stage portfolios stall between cheques and milestones. I support fund workflows, founder onboarding, and diligence artefact management so partners stay focused on deployment.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Margadarshaka’s pre-scale GTM as gated experiments - demand tests, counsellor capacity checks, and unit-economics checkpoints before marketing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Drafted early cap-table scenarios and angel-outreach materials while mapping investor fit against counselling-liability and payer-user alignment risks.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AstroPatshala’s repeatable operating model by defining how pricing and licensing governed packaged services, market entry, and delivery.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maintained two production codebases governing customer acquisition, education delivery, research publishing, and internal operations - with deployment cadence tied to licensing releases.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Duve Venture Diligence and Industry Tearsheet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Spec Strategy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an industry tearsheet and diligence pack for an anonymised London VC evaluating Tel Aviv-based Duve during its bridge between seed and Series A.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Tested Duve’s investment case against PMS dependencies, hotel-operator workflows, rollout friction, customer concentration, downside exposure, and integration upside.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Hospitality and Venture Operations Automation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Automated staff-attendance reminders and operational mail workflows across hotel properties with logged cron schedules and failure alerts.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backup and data-sync scripts with recovery paths tested during planned downtime windows.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Business Strategy; Corporate Entrepreneurship; Building Next-Generation Startups; Design Thinking in Web Design; Creativity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0BE9013F-F9AD-4BC6-AFEB-29CDEFEFA152}"/>
    <w:embedBold r:id="rId2" w:fontKey="{7FA73749-2284-44DD-AAC4-5C2D4F513C9E}"/>
    <w:embedItalic r:id="rId3" w:fontKey="{14742938-066A-4A33-AF16-2E80C2C6030D}"/>
    <w:embedBoldItalic r:id="rId4" w:fontKey="{594E5DD8-8172-402D-A399-E1138613D5DD}"/>
  </w:font>
  <w:font w:name="Newsreader Resume Title">
    <w:embedRegular r:id="rId5" w:fontKey="{2CC02171-EC7B-45F0-9459-E45DE0A5D2C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