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DESIGN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Operations leaders cannot act on raw exports. I structure dashboard hierarchies, visual encoding, and drill-down flows that turn dense financial and operational data into decision-ready views.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Margadarshaka delivery in two-week Scrum cadences - backlog grooming, design handoffs, and Kanban visibility across engineering and counselling stakeholders.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post-call transcripts into structured case dossiers and counsellor dashboards - linking entities, session history, and follow-up tasks in one view.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Bloom - Creative Terminal Visualization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2026–Dec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Implemented Sakura, Wisteria, Autumn, and Winter palettes through HSL interpolation, enabling runtime palette switching with no re-render latency through buffered screen-update cycles.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Exposed interactive wind direction, strength, turbulence, and damping through WASD controls, turning the animation into a responsive terminal experience for the Unix ricing community.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Redshaw Advisors Brand Strategy and Campaign Kit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Paired the repositioning with guerrilla campaign concepts and a reusable creative kit designed to make specialist carbon-market expertise more legible and convert attention into qualified interest.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Earned client commendation for the clarity and cohesion of the final strategic platform, brand direction, and campaign system.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1; Design Thinking in Practice; Strategic Ambiguity; Design Thinking in Web Design; Acting 101: Voice, Body, and Character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0C8C36C5-8037-4E8A-8648-6D53BA2FF9C2}"/>
    <w:embedBold r:id="rId2" w:fontKey="{C77067C2-0E06-4928-9A82-DE1236664F3F}"/>
    <w:embedItalic r:id="rId3" w:fontKey="{C1A3278A-C4A0-42E3-ABC9-8FAEF19F3141}"/>
    <w:embedBoldItalic r:id="rId4" w:fontKey="{EE9744B3-673E-43ED-9B24-53C4F9D3EA78}"/>
  </w:font>
  <w:font w:name="Newsreader Resume Title">
    <w:embedRegular r:id="rId5" w:fontKey="{D660DBB2-4FED-44BA-AB2C-1803D43148C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