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0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DESIGN PROFILE</w:t>
      </w:r>
    </w:p>
    <w:p>
      <w:pPr>
        <w:spacing w:lineRule="exact" w:line="280" w:after="7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Enterprise SaaS teams scale UI debt fast. I define component logic, service patterns, and documentation that let product squads ship consistent workflows without designer bottlenecks.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Margadarshaka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Technical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Ran Margadarshaka delivery in two-week Scrum cadences - backlog grooming, design handoffs, and Kanban visibility across engineering and counselling stakeholders.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Turned post-call transcripts into structured case dossiers and counsellor dashboards - linking entities, session history, and follow-up tasks in one view.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Founder and President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Hult AI Collective, 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Kept the hackathon’s closing programme on schedule after confirmed external speakers withdrew by designing and delivering the replacement AI workshop at short notice.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Took Hult’s student AI organisation from operating concept to public launch by building its programming calendar, outreach cadence, event delivery, treasury controls, and technical infrastructure.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NIRMANA Design Capstone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2024–Dec 2024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Created NIRMANA through 4 brief iterations, building a design-learning system around 75 gamified questions that help practitioners recover observation, practice, repetition, and discourse.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Extended the critique of design education into 7 connected formats: curriculum, essays, short film, music score, microsite, documentation, and spatial manifestation.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2 companion interfaces - a public microsite and a Snaptrude spatial prototype - connecting the digital card system to its proposed physical exhibition environment.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Presentation Format Conversion Platform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2025–Dec 2025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bidirectional round-tripping among PPTX, Google Slides, and HTML inside a local-first Electron shell, preserving animation intent through an extensible plug-in layer.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Reduced format lock-in by separating the conversion core from format adapters, creating a practical path for new import and export targets without rebuilding the desktop application.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Design Thinking in Web Design; Design Thinking in Practice; Strategic Ambiguity; Design 1; Creativity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3C2D7245-3375-43B9-9D9F-9210913FF629}"/>
    <w:embedBold r:id="rId2" w:fontKey="{88D6E5C1-B6DE-4CD4-A0F6-6DF590ED78CB}"/>
    <w:embedItalic r:id="rId3" w:fontKey="{71967878-6DE8-4643-B4D6-68F4F4AE96D1}"/>
    <w:embedBoldItalic r:id="rId4" w:fontKey="{5F314E88-5B88-4D21-B711-8AA7E57CCF1B}"/>
  </w:font>
  <w:font w:name="Newsreader Resume Title">
    <w:embedRegular r:id="rId5" w:fontKey="{E033B1B7-7061-4E34-8C7F-BDBE82018671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