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DESIGN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FinTech learning tools lose users when models and UI diverge. I unify financial modelling logic, interface systems, and research-led content architecture for decision-grade products.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post-call transcripts into structured case dossiers and counsellor dashboards - linking entities, session history, and follow-up tasks in one view.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a two-way loop with BWC: GANET research and templates fed desk models and macro calls; StockTrak trade logs, performance evidence, and postmortems became worked cases in the vault.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Design 1; Creativity;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A7E540AA-39B0-4E8C-AC6E-1D5931D5D71A}"/>
    <w:embedBold r:id="rId2" w:fontKey="{57793091-7F5C-4CAD-BA47-B2F9D7FE324A}"/>
    <w:embedItalic r:id="rId3" w:fontKey="{43213386-0F54-4A4E-8CDB-1ABF63B18E9B}"/>
    <w:embedBoldItalic r:id="rId4" w:fontKey="{04F98D43-E730-4327-AFDF-9A25745C96A6}"/>
  </w:font>
  <w:font w:name="Newsreader Resume Title">
    <w:embedRegular r:id="rId5" w:fontKey="{03F45942-0F1C-4136-9454-9A05944D573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