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a room-by-room property rundown, inventory and quality verification, tenancy review, risk logging, stakeholder coordination, and documented handover to the incoming operating team.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Protected group continuity during an active operational disruption by restoring access and connectivity across visa-linked institutional accounts.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the property through the first operating weeks after handover - front desk, staffing, rooms product, and event-space readiness - while designing mobile-first workflows so paper completion did not become an empty building.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the HAC x Hult Finance Hackathon with the Hult Banking Society from partner alignment and the event dossier through speaker outreach, workshops, and on-site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Shifted the growth model away from daily active users toward offline belonging - building accountability architecture with intentional verification friction for under-16 access.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Business Strategy; Building Next-Generation Startups; Corporate Entrepreneurship; Design Thinking in Practice; Start-up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633F4661-1172-43FA-BC6C-492CD8256ED4}"/>
    <w:embedBold r:id="rId2" w:fontKey="{1C86BDC2-C28B-4CF0-B1D4-C896B67E7F7D}"/>
    <w:embedItalic r:id="rId3" w:fontKey="{7881CEBC-704E-402C-BB18-1D2D7CC1C914}"/>
    <w:embedBoldItalic r:id="rId4" w:fontKey="{69264535-0B57-4FA0-B6A0-FB294F282BB2}"/>
  </w:font>
  <w:font w:name="Newsreader Resume Title">
    <w:embedRegular r:id="rId5" w:fontKey="{5BA07238-0002-4015-B3D5-C414B5C2632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