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GROWTH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Media properties lose traffic as search shifts to generative answers. I improve technical SEO, structured content, and AI-crawl readiness so discoverability survives algorithm churn.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Margadarshaka’s pre-scale GTM as gated experiments - demand tests, counsellor capacity checks, and unit-economics checkpoints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early cap-table scenarios and angel-outreach materials while mapping investor fit against counselling-liability and payer-user alignment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Generative Search Intelligence System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search intent into answer-ready GEO and AEO briefs by connecting entity coverage, source quality, structured data, and distribution.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an experiment dashboard that tied crawl coverage and citations to branded visibility, conversion, and performance change after each content release.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Personal Brand and Digital Presence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2020–Present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Unified positioning across LinkedIn, Instagram, and kartavya.tech through a shared visual identity, headline, and content architecture.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the owned website into the source of truth for projects and long-form evidence, giving shorter social profiles a consistent path back to substantive work.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Creativity; Acting 101: Voice, Body, and Character; Fundamentals of Business Analytics; Start-up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CC8D7231-8933-469A-94DD-A324CADF1356}"/>
    <w:embedBold r:id="rId2" w:fontKey="{1E7FD7AD-D465-47A2-AB8B-40BD913FC0DB}"/>
    <w:embedItalic r:id="rId3" w:fontKey="{D2D30D32-BF9C-48BD-BDAD-D846A55EE596}"/>
    <w:embedBoldItalic r:id="rId4" w:fontKey="{2DF47132-EEA9-49D2-9E25-B08534C8617E}"/>
  </w:font>
  <w:font w:name="Newsreader Resume Title">
    <w:embedRegular r:id="rId5" w:fontKey="{CED2E398-3E34-4E7D-AEA2-BCD6CB8F869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