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Increased repeat bookings by 30% within 6 months across 4 hotels by routing structured guest feedback into reception script updates, staffing changes, and amenity fixes reviewed in a weekly ops cadence.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cash and shift reconciliation with a 14-sheet OpenPyXL workbook, replacing manual cross-checks with an auditable front desk control process.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Equipped restaurant staff with an auditable Excel pricing model for 191 menu items, replacing opaque judgement with transparent formulas and repeatable decision rules.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Octopus Energy Battery Integration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2025–Dec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Option D, a GBP 150 million backward-integration move into utility-scale batteries connected to Kraken and PowerGuard, after testing industry pressure with Porter’s Five Forces and Kraken’s roughly 40% cost-to-serve advantage.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Prioritised the 200 to 400 MW battery path over three alternatives using RICE and scenario planning; it scored 253 and modelled GBP 160 million to GBP 220 million of impact.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Walmart Pfand Circular Retail Strategy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a Walmart+ reverse-vending roadmap with accessible kiosk UX, instant rewards, fraud detection, and a modelled scale phase covering more than 2,000 stores.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a six-month pilot scorecard using UI error rates, operational reports, post-interaction surveys, and kiosk transactions, targeting 50% fewer errors, 40% fewer manual interventions, 15% higher satisfaction, and 25% higher kiosk sales.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Business Strategy; Fundamentals of Business Analytics; Future Proofing Challenge; Building Next-Generation Startups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C24446DC-71EF-4980-BC8F-32717FC6B305}"/>
    <w:embedBold r:id="rId2" w:fontKey="{8E12BAD8-2E1E-41F9-A3AA-9073073C76F8}"/>
    <w:embedItalic r:id="rId3" w:fontKey="{69DEEB25-888F-4834-AAB5-86994AB3D96C}"/>
    <w:embedBoldItalic r:id="rId4" w:fontKey="{A1A6C014-2E21-4968-81A8-5B1869E09FDB}"/>
  </w:font>
  <w:font w:name="Newsreader Resume Title">
    <w:embedRegular r:id="rId5" w:fontKey="{F4A626F4-D838-493A-BC5D-D969F7CFD04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