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SPATIAL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Museum and expo briefs demand narrative continuity across touchpoints. I design phygital journeys linking digital content, physical wayfinding, and spatial storytelling.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Kept the hackathon’s closing programme on schedule after confirmed external speakers withdrew by designing and delivering the replacement AI workshop at short notice.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Hult’s student AI organisation from operating concept to public launch by building its programming calendar, outreach cadence, event delivery, treasury controls, and technical infrastructure.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the property through the first operating weeks after handover - front desk, staffing, rooms product, and event-space readiness - while designing mobile-first workflows so paper completion did not become an empty building.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Completed property handover by running site analysis, verifying room and F&amp;B inventory, and formulating operating agreements - then fitted the meeting room and banquet spaces to a bookable standard before the first guest weeks.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a 5-person team in designing OULM across 3 service areas - Bedfordshire, Hertfordshire, and Luton - moving young people from digital discovery and booking into Welcome Areas and the Woodland Cafe.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Connected online pathways to 2 physical destinations - Welcome Areas and the Woodland Cafe - so discovery, safeguarding, and community participation resolve in real places.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NIRMANA Design Capstone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Created NIRMANA through 4 brief iterations, building a design-learning system around 75 gamified questions that help practitioners recover observation, practice, repetition, and discourse.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2 companion interfaces - a public microsite and a Snaptrude spatial prototype - connecting the digital card system to its proposed physical exhibition environment.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Design 1; Creativity; Acting 101: Voice, Body, and Character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57BF3BB4-8CDC-4086-A9B4-52E9983F3596}"/>
    <w:embedBold r:id="rId2" w:fontKey="{5C511C56-3317-40C0-B745-EF9B075DCB7D}"/>
    <w:embedItalic r:id="rId3" w:fontKey="{798C70E2-71C4-4B8E-89A8-4ECE4A09154F}"/>
    <w:embedBoldItalic r:id="rId4" w:fontKey="{E2DF1DF2-8EA2-45A0-BFAC-98E35421CA11}"/>
  </w:font>
  <w:font w:name="Newsreader Resume Title">
    <w:embedRegular r:id="rId5" w:fontKey="{31D44D91-56F6-46DE-A661-E7B2DA8E0F4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