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TURNAROUND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Distressed hospitality assets need kill-gate discipline, not optimism. I run turnaround diagnostics on occupancy, staffing, and service friction with documented stabilization controls.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Completed property handover by running site analysis, verifying room and F&amp;B inventory, and formulating operating agreements - then fitted the meeting room and banquet spaces to a bookable standard before the first guest weeks.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Triggered a two-month profitability kill gate when leasing velocity and contribution stayed below threshold - returning the property with offboarding records, inventory state, and a reusable pitchbook rather than extending a failed hold thesis.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- and subsequently helped execute - the approximately GBP 40,000 Shimla hotel lease after integrating market conditions, prior operator books, asset quality, downside risk, operating fit, and valuation.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reusable seven-part diligence framework spanning market attractiveness, operator quality, asset condition, legal exposure, commercial fit, valuation logic, and post-transaction execution risk.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Leased Hotel Turnaround and Operating Model Strategy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Produced a month-one lease-decision baseline by mapping RevPAR, room occupancy, staffing, guest satisfaction, asset condition, and service friction into one diagnostic packet for the same property under operating control.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Recorded the failed hold thesis as a two-month kill-gate exit - offboarding trail, inventory state, and future-lease pitchbook preserved so the stop itself remained decision-grade evidence.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Risk Modelling and Control Design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hotel FMEA and operational risk registers during the Savi turnaround - mapping service failure modes, kill gates, and control owners.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Drafted GTM and market-risk trees for confidential venture launches without naming clients or claiming regulated advice.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Design Thinking in Web Design; Creativity; Business Strategy; Corporate Entrepreneurship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DC85337E-AC16-4377-8FA2-94662962B44F}"/>
    <w:embedBold r:id="rId2" w:fontKey="{F9F01EF5-2E19-4528-995F-DE12BC95022D}"/>
    <w:embedItalic r:id="rId3" w:fontKey="{CEC2B980-C71B-4850-A018-69C102D942CD}"/>
    <w:embedBoldItalic r:id="rId4" w:fontKey="{B7CDF933-2E14-4456-BAED-69CC96BE26D7}"/>
  </w:font>
  <w:font w:name="Newsreader Resume Title">
    <w:embedRegular r:id="rId5" w:fontKey="{B8034523-3D6B-49AF-A070-2D4A018D160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