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STRATEGY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build exhibit-linked resilience cases, industry analysis, and recommendations from operating evidence for strategy engagements.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seven-part diligence framework covering market, operator, asset, legal, commercial, valuation, and execution risks.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site analysis, room and F&amp;B inventory checks, and operating agreements; readied meeting and banquet spaces before opening.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Grew from four weekly room-nights to five sell-out days in a peak week, aided by market timing, corporate MICE banquets, and walk-in lunches.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two production codebases for acquisition, education, publishing, and operations, aligning deployments with licensing releases.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Octopus Energy Battery Integration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2025–Dec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GBP 150 million battery integration with Kraken and PowerGuard after Five Forces analysis and assessment of Kraken’s roughly 40% cost-to-serve advantage.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Prioritised 200 to 400 MW of batteries over three alternatives using RICE (253) and scenarios modelling GBP 160 million to GBP 220 million impact.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Noritake Hospitality Tableware Positioning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2025–Dec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Applied Consulting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Noritake’s JPY 147 million tabletop loss against Asian hospitality whitespace using Blue Ocean Strategy and strategic-group analysis.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repositioning around a hotel configurator, 24 to 36 month partnership contracts, co-marketing, and sustainability-led supply-chain optimisation.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Creativity; Strategic Ambiguity; Business Strategy;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0BFC3409-246D-4A96-9B57-AAF4A436D440}"/>
    <w:embedBold r:id="rId2" w:fontKey="{97E2276E-B45A-4797-B18B-FCD680CE3A98}"/>
    <w:embedItalic r:id="rId3" w:fontKey="{55F57C9E-21E7-4820-B326-6ACA6AD3813B}"/>
    <w:embedBoldItalic r:id="rId4" w:fontKey="{CD5AF848-868B-45AA-95FB-D39D0846665D}"/>
  </w:font>
  <w:font w:name="Newsreader Resume Title">
    <w:embedRegular r:id="rId5" w:fontKey="{FF4CC5D0-ABC7-4168-9DC8-A9300499DF8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