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EXECUTIVE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turn operating evidence into board recommendations on market size, competitive moves, and execution gates for corporate strategy teams.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Raised repeat bookings 30% in 6 months across 4 hotels, using guest feedback to revise reception scripts, staffing, and amenities weekly.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Improved continuity between reception shifts through a shared handover queue for reservations, arrivals, payments, special requests, and service recovery.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Protected group continuity during an active operational disruption by restoring access and connectivity across visa-linked institutional accounts.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Prepared a filing-ready legal addendum under counsel direction so counsel could meet a time-sensitive Indian Supreme Court deadline for a related family matter.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pre-scale GTM experiments testing demand, counsellor capacity, and unit economics before marketing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cap-table scenarios and angel-outreach materials, assessing investor fit against liability and payer-user alignment risks.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Family Governance and Office Access Model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Developed proposals and operating routines for investment approval, related-party decisions, succession, conflicts, records, and adviser handoffs.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Proposed decision rights, ownership, information flows, and accountability boundaries across family, business, and investment decisions.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IHCL/Taj Hotels Corporate Innovation Diagnostic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Taj’s service-capacity constraint across 129 properties and the 150-property scaling threshold, then built Project Bifocal around that gap.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Proposed INR 1,500 crore (30% of IHCL’s INR 5,000 crore envelope) for Box 3 ventures, gated by repeat purchase, NPS, contribution margin, and kill thresholds.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Business Strategy; Creativity; Strategic Ambiguity; Design Thinking in Practice; Design Thinking in Web Design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59F0149A-E0B3-4BE2-B806-8F47E1680574}"/>
    <w:embedBold r:id="rId2" w:fontKey="{32BEF73F-5DA1-4EA0-A484-46926F326F1E}"/>
    <w:embedItalic r:id="rId3" w:fontKey="{C4D5FE4C-FA69-4CAA-A9F4-37E3DFCB83CD}"/>
    <w:embedBoldItalic r:id="rId4" w:fontKey="{2552B2C8-70DB-4625-9DCD-9DD639A94062}"/>
  </w:font>
  <w:font w:name="Newsreader Resume Title">
    <w:embedRegular r:id="rId5" w:fontKey="{ADC2C8CA-0743-41C0-A3B8-4E6F6060506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