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s/text-Regular.odttf" ContentType="application/vnd.openxmlformats-officedocument.obfuscatedFont"/>
  <Override PartName="/word/fonts/text-Bold.odttf" ContentType="application/vnd.openxmlformats-officedocument.obfuscatedFont"/>
  <Override PartName="/word/fonts/text-Italic.odttf" ContentType="application/vnd.openxmlformats-officedocument.obfuscatedFont"/>
  <Override PartName="/word/fonts/text-BoldItalic.odttf" ContentType="application/vnd.openxmlformats-officedocument.obfuscatedFont"/>
  <Override PartName="/word/fonts/title-Regular.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Rule="exact" w:line="560"/>
        <w:jc w:val="center"/>
      </w:pPr>
      <w:r>
        <w:rPr>
          <w:rFonts w:ascii="Newsreader Resume Title" w:hAnsi="Newsreader Resume Title" w:cs="Newsreader Resume Title"/>
          <w:b w:val="0"/>
          <w:i w:val="0"/>
          <w:sz w:val="40"/>
          <w:spacing w:val="-6"/>
          <w14:ligatures w14:val="standardContextual"/>
        </w:rPr>
        <w:t>Kartavya Jharwal</w:t>
      </w:r>
    </w:p>
    <w:p>
      <w:pPr>
        <w:spacing w:before="140" w:after="140" w:lineRule="exact" w:line="280"/>
        <w:jc w:val="center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lining"/>
          <w14:numSpacing w14:val="tabular"/>
        </w:rPr>
        <w:t>London, UK | +44 7762 941472 | Kartavyajharwal@gmail.com | kartavya.tech | https://linkedin.com/in/kartavyajharwal | https://github.com/Kartavya-Jharwal</w:t>
      </w:r>
    </w:p>
    <w:p>
      <w:pPr>
        <w:keepNext/>
        <w:spacing w:before="0" w:after="140" w:lineRule="exact" w:line="280"/>
        <w:pBdr>
          <w:bottom w:val="single" w:sz="4" w:space="7" w:color="8C8C8C"/>
        </w:pBdr>
      </w:pPr>
      <w:r>
        <w:rPr>
          <w:rFonts w:ascii="Newsreader Resume Text" w:hAnsi="Newsreader Resume Text" w:cs="Newsreader Resume Text"/>
          <w:b w:val="0"/>
          <w:i w:val="0"/>
          <w:sz w:val="22"/>
          <w:spacing w:val="13"/>
          <w14:ligatures w14:val="standardContextual"/>
        </w:rPr>
        <w:t>EXECUTIVE PROFILE</w:t>
      </w:r>
    </w:p>
    <w:p>
      <w:pPr>
        <w:spacing w:lineRule="exact" w:line="280" w:after="7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Hospitality corporate groups need portfolio strategy, not property anecdotes. I support innovation envelopes, asset diagnostics, and group-level recommendations from operating evidence.</w:t>
      </w:r>
    </w:p>
    <w:p>
      <w:pPr>
        <w:keepNext/>
        <w:spacing w:before="126" w:after="140" w:lineRule="exact" w:line="280"/>
        <w:pBdr>
          <w:bottom w:val="single" w:sz="4" w:space="7" w:color="8C8C8C"/>
        </w:pBdr>
      </w:pPr>
      <w:r>
        <w:rPr>
          <w:rFonts w:ascii="Newsreader Resume Text" w:hAnsi="Newsreader Resume Text" w:cs="Newsreader Resume Text"/>
          <w:b w:val="0"/>
          <w:i w:val="0"/>
          <w:sz w:val="22"/>
          <w:spacing w:val="13"/>
          <w14:ligatures w14:val="standardContextual"/>
        </w:rPr>
        <w:t>RELEVANT EXPERIENCE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3"/>
        <w:gridCol w:w="5103"/>
      </w:tblGrid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/>
                <w:i w:val="0"/>
                <w:sz w:val="22"/>
                <w14:ligatures w14:val="standardContextual"/>
              </w:rPr>
              <w:t>Savi Hotels &amp; Resorts</w:t>
            </w: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</w:rPr>
              <w:t xml:space="preserve"> </w:t>
            </w:r>
            <w:r>
              <w:t xml:space="preserve"> </w:t>
            </w:r>
            <w:r>
              <w:rPr>
                <w:rFonts w:ascii="Newsreader Resume Text" w:hAnsi="Newsreader Resume Text" w:cs="Newsreader Resume Text"/>
                <w:b w:val="0"/>
                <w:i/>
                <w:sz w:val="22"/>
                <w14:ligatures w14:val="standardContextual"/>
              </w:rPr>
              <w:t>Operational Lead, Jaipur, India</w:t>
            </w:r>
          </w:p>
        </w:tc>
        <w:tc>
          <w:tcPr>
            <w:tcW w:type="dxa" w:w="2100"/>
          </w:tcPr>
          <w:p>
            <w:pPr>
              <w:spacing w:lineRule="exact" w:line="280"/>
              <w:jc w:val="right"/>
            </w:pP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  <w14:numForm w14:val="lining"/>
                <w14:numSpacing w14:val="tabular"/>
              </w:rPr>
              <w:t>Jan 2021–Jul 2026</w:t>
            </w:r>
          </w:p>
        </w:tc>
      </w:tr>
    </w:tbl>
    <w:p>
      <w:pPr>
        <w:spacing w:before="0" w:after="0" w:lineRule="exact" w:line="2"/>
      </w:pP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Grew weekly rooms from four room-nights at takeover to a peak week of five full-property sell-out days - market timing helped, but the ramp held only after corporate MICE banquets ran morning to evening and walk-in family lunches shared the same kitchen and service spine.</w:t>
      </w: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Locked the demand spike into sustained commercial forms - repeat corporate packages, alternate booking structures beyond ad-hoc nights, and written operating playbooks - so rooms, banquet dayparts, and walk-in F&amp;B could hold volume after the peak week.</w:t>
      </w:r>
    </w:p>
    <w:p>
      <w:pPr>
        <w:spacing w:before="0" w:after="140" w:lineRule="exact" w:line="2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3"/>
        <w:gridCol w:w="5103"/>
      </w:tblGrid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/>
                <w:i w:val="0"/>
                <w:sz w:val="22"/>
                <w14:ligatures w14:val="standardContextual"/>
              </w:rPr>
              <w:t>SRBS Group</w:t>
            </w: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</w:rPr>
              <w:t xml:space="preserve"> </w:t>
            </w:r>
            <w:r>
              <w:t xml:space="preserve"> </w:t>
            </w:r>
            <w:r>
              <w:rPr>
                <w:rFonts w:ascii="Newsreader Resume Text" w:hAnsi="Newsreader Resume Text" w:cs="Newsreader Resume Text"/>
                <w:b w:val="0"/>
                <w:i/>
                <w:sz w:val="22"/>
                <w14:ligatures w14:val="standardContextual"/>
              </w:rPr>
              <w:t>Associate to the Managing Director, Jaipur, India</w:t>
            </w:r>
          </w:p>
        </w:tc>
        <w:tc>
          <w:tcPr>
            <w:tcW w:type="dxa" w:w="2100"/>
          </w:tcPr>
          <w:p>
            <w:pPr>
              <w:spacing w:lineRule="exact" w:line="280"/>
              <w:jc w:val="right"/>
            </w:pP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  <w14:numForm w14:val="lining"/>
                <w14:numSpacing w14:val="tabular"/>
              </w:rPr>
              <w:t>Jan 2021–Jul 2026</w:t>
            </w:r>
          </w:p>
        </w:tc>
      </w:tr>
    </w:tbl>
    <w:p>
      <w:pPr>
        <w:spacing w:before="0" w:after="0" w:lineRule="exact" w:line="2"/>
      </w:pP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Recommended - and subsequently helped execute - the approximately GBP 40,000 Shimla hotel lease after integrating market conditions, prior operator books, asset quality, downside risk, operating fit, and valuation.</w:t>
      </w: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Executed the 8-day Shimla takeover through a room-by-room property rundown, inventory and quality verification, tenancy review, risk logging, stakeholder coordination, and documented handover to the incoming operating team.</w:t>
      </w:r>
    </w:p>
    <w:p>
      <w:pPr>
        <w:keepNext/>
        <w:spacing w:before="126" w:after="140" w:lineRule="exact" w:line="280"/>
        <w:pBdr>
          <w:bottom w:val="single" w:sz="4" w:space="7" w:color="8C8C8C"/>
        </w:pBdr>
      </w:pPr>
      <w:r>
        <w:rPr>
          <w:rFonts w:ascii="Newsreader Resume Text" w:hAnsi="Newsreader Resume Text" w:cs="Newsreader Resume Text"/>
          <w:b w:val="0"/>
          <w:i w:val="0"/>
          <w:sz w:val="22"/>
          <w:spacing w:val="13"/>
          <w14:ligatures w14:val="standardContextual"/>
        </w:rPr>
        <w:t>RELATED PROJECTS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3"/>
        <w:gridCol w:w="5103"/>
      </w:tblGrid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/>
                <w:i w:val="0"/>
                <w:sz w:val="22"/>
                <w14:ligatures w14:val="standardContextual"/>
              </w:rPr>
              <w:t>IHCL/Taj Hotels Corporate Innovation Diagnostic</w:t>
            </w:r>
          </w:p>
        </w:tc>
        <w:tc>
          <w:tcPr>
            <w:tcW w:type="dxa" w:w="2100"/>
          </w:tcPr>
          <w:p>
            <w:pPr>
              <w:spacing w:lineRule="exact" w:line="280"/>
              <w:jc w:val="right"/>
            </w:pP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  <w14:numForm w14:val="lining"/>
                <w14:numSpacing w14:val="tabular"/>
              </w:rPr>
              <w:t>Sep 2024–Dec 2024</w:t>
            </w:r>
          </w:p>
        </w:tc>
      </w:tr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 w:val="0"/>
                <w:i/>
                <w:sz w:val="22"/>
                <w14:ligatures w14:val="standardContextual"/>
              </w:rPr>
              <w:t>Independent Strategic Teardown</w:t>
            </w:r>
          </w:p>
        </w:tc>
        <w:tc>
          <w:tcPr>
            <w:tcW w:type="dxa" w:w="2100"/>
          </w:tcPr>
          <w:p/>
        </w:tc>
      </w:tr>
    </w:tbl>
    <w:p>
      <w:pPr>
        <w:spacing w:before="0" w:after="0" w:lineRule="exact" w:line="2"/>
      </w:pP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Mapped Taj’s service-capacity constraint across 129 properties and the 150-property scaling threshold, then built Project Bifocal around that gap.</w:t>
      </w: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Carved 30% of IHCL’s proposed INR 5,000 crore envelope into an INR 1,500 crore Box 3 portfolio across Qmin, ama, Tree of Life, and new ventures, with fuzzy gates tied to repeat purchase, NPS, contribution margin, and kill thresholds.</w:t>
      </w:r>
    </w:p>
    <w:p>
      <w:pPr>
        <w:spacing w:before="0" w:after="140" w:lineRule="exact" w:line="2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3"/>
        <w:gridCol w:w="5103"/>
      </w:tblGrid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/>
                <w:i w:val="0"/>
                <w:sz w:val="22"/>
                <w14:ligatures w14:val="standardContextual"/>
              </w:rPr>
              <w:t>Noritake Hospitality Tableware Positioning Strategy</w:t>
            </w:r>
          </w:p>
        </w:tc>
        <w:tc>
          <w:tcPr>
            <w:tcW w:type="dxa" w:w="2100"/>
          </w:tcPr>
          <w:p>
            <w:pPr>
              <w:spacing w:lineRule="exact" w:line="280"/>
              <w:jc w:val="right"/>
            </w:pP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  <w14:numForm w14:val="lining"/>
                <w14:numSpacing w14:val="tabular"/>
              </w:rPr>
              <w:t>Sep 2025–Dec 2025</w:t>
            </w:r>
          </w:p>
        </w:tc>
      </w:tr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 w:val="0"/>
                <w:i/>
                <w:sz w:val="22"/>
                <w14:ligatures w14:val="standardContextual"/>
              </w:rPr>
              <w:t>Applied Consulting</w:t>
            </w:r>
          </w:p>
        </w:tc>
        <w:tc>
          <w:tcPr>
            <w:tcW w:type="dxa" w:w="2100"/>
          </w:tcPr>
          <w:p/>
        </w:tc>
      </w:tr>
    </w:tbl>
    <w:p>
      <w:pPr>
        <w:spacing w:before="0" w:after="0" w:lineRule="exact" w:line="2"/>
      </w:pP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Mapped Noritake’s JPY 147 million tabletop loss against Asian hospitality whitespace using Blue Ocean Strategy and strategic-group analysis.</w:t>
      </w: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Applied Blue Ocean and strategic-group repositioning, then modelled 15% to 25% premium pricing across 40% to 50% of tabletop revenue to project USD 54 million to USD 90 million in incremental revenue.</w:t>
      </w:r>
    </w:p>
    <w:p>
      <w:pPr>
        <w:keepNext/>
        <w:spacing w:before="126" w:after="140" w:lineRule="exact" w:line="280"/>
        <w:pBdr>
          <w:bottom w:val="single" w:sz="4" w:space="7" w:color="8C8C8C"/>
        </w:pBdr>
      </w:pPr>
      <w:r>
        <w:rPr>
          <w:rFonts w:ascii="Newsreader Resume Text" w:hAnsi="Newsreader Resume Text" w:cs="Newsreader Resume Text"/>
          <w:b w:val="0"/>
          <w:i w:val="0"/>
          <w:sz w:val="22"/>
          <w:spacing w:val="13"/>
          <w14:ligatures w14:val="standardContextual"/>
        </w:rPr>
        <w:t>EDUCATION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3"/>
        <w:gridCol w:w="5103"/>
      </w:tblGrid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/>
                <w:i w:val="0"/>
                <w:sz w:val="22"/>
                <w14:ligatures w14:val="standardContextual"/>
              </w:rPr>
              <w:t>Hult International Business School | London, UK</w:t>
            </w:r>
          </w:p>
        </w:tc>
        <w:tc>
          <w:tcPr>
            <w:tcW w:type="dxa" w:w="2100"/>
          </w:tcPr>
          <w:p>
            <w:pPr>
              <w:spacing w:lineRule="exact" w:line="280"/>
              <w:jc w:val="right"/>
            </w:pPr>
            <w:r>
              <w:rPr>
                <w:rFonts w:ascii="Newsreader Resume Text" w:hAnsi="Newsreader Resume Text" w:cs="Newsreader Resume Text"/>
                <w:b w:val="0"/>
                <w:i/>
                <w:sz w:val="22"/>
                <w14:ligatures w14:val="standardContextual"/>
                <w14:numForm w14:val="lining"/>
                <w14:numSpacing w14:val="tabular"/>
              </w:rPr>
              <w:t>Expected May 2027</w:t>
            </w:r>
          </w:p>
        </w:tc>
      </w:tr>
    </w:tbl>
    <w:p>
      <w:pPr>
        <w:spacing w:before="0" w:after="0" w:lineRule="exact" w:line="2"/>
      </w:pPr>
    </w:p>
    <w:p>
      <w:pPr>
        <w:spacing w:lineRule="exact" w:line="280" w:after="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Triple Crown Business School | Bachelor of Business Administration</w:t>
      </w:r>
    </w:p>
    <w:p>
      <w:pPr>
        <w:spacing w:lineRule="exact" w:line="280"/>
        <w:ind w:left="140"/>
      </w:pPr>
      <w:r>
        <w:rPr>
          <w:rFonts w:ascii="Newsreader Resume Text" w:hAnsi="Newsreader Resume Text" w:cs="Newsreader Resume Text"/>
          <w:b w:val="0"/>
          <w:i/>
          <w:sz w:val="22"/>
          <w14:ligatures w14:val="standardContextual"/>
        </w:rPr>
        <w:t>Double Major: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Entrepreneurship and Design (Double Major)</w:t>
      </w:r>
    </w:p>
    <w:p>
      <w:pPr>
        <w:spacing w:lineRule="exact" w:line="280"/>
        <w:ind w:left="140"/>
      </w:pPr>
      <w:r>
        <w:rPr>
          <w:rFonts w:ascii="Newsreader Resume Text" w:hAnsi="Newsreader Resume Text" w:cs="Newsreader Resume Text"/>
          <w:b/>
          <w:i/>
          <w:sz w:val="22"/>
          <w14:ligatures w14:val="standardContextual"/>
        </w:rPr>
        <w:t>GPA: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 xml:space="preserve"> </w:t>
      </w:r>
      <w:r>
        <w:rPr>
          <w:rFonts w:ascii="Newsreader Resume Text" w:hAnsi="Newsreader Resume Text" w:cs="Newsreader Resume Text"/>
          <w:b/>
          <w:i w:val="0"/>
          <w:sz w:val="22"/>
          <w14:ligatures w14:val="standardContextual"/>
          <w14:numForm w14:val="oldstyle"/>
          <w14:numSpacing w14:val="proportional"/>
        </w:rPr>
        <w:t>3.76/4.00 | UK Firsts honors</w:t>
      </w:r>
    </w:p>
    <w:p>
      <w:pPr>
        <w:spacing w:lineRule="exact" w:line="280"/>
        <w:ind w:left="140"/>
      </w:pPr>
      <w:r>
        <w:rPr>
          <w:rFonts w:ascii="Newsreader Resume Text" w:hAnsi="Newsreader Resume Text" w:cs="Newsreader Resume Text"/>
          <w:b w:val="0"/>
          <w:i/>
          <w:sz w:val="22"/>
          <w14:ligatures w14:val="standardContextual"/>
        </w:rPr>
        <w:t>Honors: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Dean’s List for consecutive terms; Academic Excellence Scholarship; Social Impact Award; Full-Ride Master’s Grant</w:t>
      </w:r>
    </w:p>
    <w:p>
      <w:pPr>
        <w:spacing w:lineRule="exact" w:line="280"/>
        <w:ind w:left="140"/>
      </w:pPr>
      <w:r>
        <w:rPr>
          <w:rFonts w:ascii="Newsreader Resume Text" w:hAnsi="Newsreader Resume Text" w:cs="Newsreader Resume Text"/>
          <w:b w:val="0"/>
          <w:i/>
          <w:sz w:val="22"/>
          <w14:ligatures w14:val="standardContextual"/>
        </w:rPr>
        <w:t>Relevant Coursework: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Creativity; Strategic Ambiguity; Business Strategy; Corporate Entrepreneurship; Design Thinking in Practice</w:t>
      </w:r>
    </w:p>
    <w:sectPr w:rsidR="00FC693F" w:rsidRPr="0006063C" w:rsidSect="00034616">
      <w:pgSz w:w="11906" w:h="16838"/>
      <w:pgMar w:top="656" w:right="850" w:bottom="1749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Newsreader Resume Text">
    <w:embedRegular r:id="rId1" w:fontKey="{2515027B-A7D9-4E83-B91E-AE2A4A301DE8}"/>
    <w:embedBold r:id="rId2" w:fontKey="{B6F6DEAB-DEE7-4D79-986C-88C7B62F4D99}"/>
    <w:embedItalic r:id="rId3" w:fontKey="{48B89806-D8C3-49C1-BDAB-723139CA9589}"/>
    <w:embedBoldItalic r:id="rId4" w:fontKey="{42E30C86-C076-4DD2-B1CD-71BE948CE738}"/>
  </w:font>
  <w:font w:name="Newsreader Resume Title">
    <w:embedRegular r:id="rId5" w:fontKey="{3C50BC52-4DBD-41EB-8B00-D98A757A9F81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embedTrueTypeFonts/>
  <w:embedSystemFon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exact" w:line="280" w:before="0" w:after="0"/>
    </w:pPr>
    <w:rPr>
      <w:rFonts w:ascii="Newsreader Resume Text" w:hAnsi="Newsreader Resume Text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_rels/fontTable.xml.rels><?xml version='1.0' encoding='utf-8'?>
<Relationships xmlns="http://schemas.openxmlformats.org/package/2006/relationships"><Relationship Id="rId1" Type="http://schemas.openxmlformats.org/officeDocument/2006/relationships/font" Target="fonts/text-Regular.odttf"/><Relationship Id="rId2" Type="http://schemas.openxmlformats.org/officeDocument/2006/relationships/font" Target="fonts/text-Bold.odttf"/><Relationship Id="rId3" Type="http://schemas.openxmlformats.org/officeDocument/2006/relationships/font" Target="fonts/text-Italic.odttf"/><Relationship Id="rId4" Type="http://schemas.openxmlformats.org/officeDocument/2006/relationships/font" Target="fonts/text-BoldItalic.odttf"/><Relationship Id="rId5" Type="http://schemas.openxmlformats.org/officeDocument/2006/relationships/font" Target="fonts/title-Regular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