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EXECUTIVE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PE operations groups need post-deal execution clarity. I translate acquisition theses into staffing models, occupancy levers, and service-friction diagnostics with documented kill gates.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SRBS Group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Associate to the Managing Director,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Recommended - and subsequently helped execute - the approximately GBP 40,000 Shimla hotel lease after integrating market conditions, prior operator books, asset quality, downside risk, operating fit, and valuation.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 reusable seven-part diligence framework spanning market attractiveness, operator quality, asset condition, legal exposure, commercial fit, valuation logic, and post-transaction execution risk.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Savi Hotels &amp; Resorts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Operational Lead,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Completed property handover by running site analysis, verifying room and F&amp;B inventory, and formulating operating agreements - then fitted the meeting room and banquet spaces to a bookable standard before the first guest weeks.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Locked the demand spike into sustained commercial forms - repeat corporate packages, alternate booking structures beyond ad-hoc nights, and written operating playbooks - so rooms, banquet dayparts, and walk-in F&amp;B could hold volume after the peak week.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Duve Venture Diligence and Industry Tearsheet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2025–May 2025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Spec Strategy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Delivered an industry tearsheet and diligence pack for an anonymised London VC evaluating Tel Aviv-based Duve during its bridge between seed and Series A.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Framed Duve as a conditional follow-up - not a clean proceed/pass - naming PMS integration dependency, rollout friction, and customer concentration as diligence gates before conviction.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Leased Hotel Turnaround and Operating Model Strategy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Modelled room-occupancy recovery and on-property F&amp;B sales - including MICE dayparts and walk-in lunches - as separate commercial levers in a mixed-revenue turnaround used for lease valuation.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Recorded the failed hold thesis as a two-month kill-gate exit - offboarding trail, inventory state, and future-lease pitchbook preserved so the stop itself remained decision-grade evidence.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Business Strategy; Design Thinking in Practice; Design Thinking in Web Design; Creativity; Strategic Ambiguity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303707AE-98CD-4E14-BFDC-D924519E5709}"/>
    <w:embedBold r:id="rId2" w:fontKey="{705E58A4-4F9B-4A8D-8F60-1EC2BFED7F6E}"/>
    <w:embedItalic r:id="rId3" w:fontKey="{F9B4E498-813D-4D68-9449-B1B3BD7814A4}"/>
    <w:embedBoldItalic r:id="rId4" w:fontKey="{972120C6-1B4F-4154-B1F9-ED681A90CC10}"/>
  </w:font>
  <w:font w:name="Newsreader Resume Title">
    <w:embedRegular r:id="rId5" w:fontKey="{3942408B-8A1A-4B6A-825C-9F3C615BA06F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