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SYSTEMS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Startup operations fragment across spreadsheets and Slack. I map workflows, data handoffs, and architecture diagrams that give accelerator teams a coherent operating blueprint.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structured discovery with six-plus practitioners on how AI-assisted career guidance is shifting - synthesising forecasts into product and positioning choices.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Governance and Office Access Model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a family-governance proposal defining decision rights, ownership, authority, information flow, accountability, and boundaries between family, business, and investment decisions.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how traditional HUF families could work with a single-family office or shared multi-family office, preserving cultural and legal realities while professionalising investment, reporting, succession, and adviser coordination.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Shifted the growth model away from daily active users toward offline belonging - building accountability architecture with intentional verification friction for under-16 access.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Building Next-Generation Startups;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F016D5C-E886-4C98-A69F-7F7E83F3DEA5}"/>
    <w:embedBold r:id="rId2" w:fontKey="{7B400AC3-8E94-42CF-BACF-792E636806C6}"/>
    <w:embedItalic r:id="rId3" w:fontKey="{B311924F-3549-4EF3-8950-774E487ADD82}"/>
    <w:embedBoldItalic r:id="rId4" w:fontKey="{9214CA12-4B93-4F15-AD14-CC9121A82DF8}"/>
  </w:font>
  <w:font w:name="Newsreader Resume Title">
    <w:embedRegular r:id="rId5" w:fontKey="{FA1DD725-9921-4BBC-A181-6B4210FFB4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