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PROFESSIONAL SUMMARY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M&amp;A boutiques need clean diligence rooms under tight closings. I prepare commercial exhibits, ESG-adjacent schedules, and data-room artefacts that keep deal teams moving.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- and subsequently helped execute - the approximately GBP 40,000 Shimla hotel lease after integrating market conditions, prior operator books, asset quality, downside risk,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Prepared a filing-ready legal addendum under counsel direction so counsel could meet a time-sensitive Indian Supreme Court deadline for a related family matter.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Required human review after every AI-handled call - no unattended counselling sessions and no automated judgment on safeguarding-sensitive calls.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Set stage gates on demand, delivery economics, and human-review cost - testing each before authorising the next build tranche.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Redshaw Advisors’ positioning by turning carbon-credit diligence and ESG research into a legible brand proposition, audience architecture, and campaign system.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Paired the repositioning with guerrilla campaign concepts and a reusable creative kit designed to make specialist carbon-market expertise more legible and convert attention into qualified interest.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Legal Documentation and Filing Support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repeatable affidavit workflow spanning fact chronology, exhibit mapping, and consistency checks against source documents.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Tracked court and registry deadlines, version control, and sign-off chains so counsel could file under time pressure.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Web Design; Strategic Ambiguity; Business Strategy; Corporate Entrepreneurship; Design Thinking in Practice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D1C29617-0843-4142-AF42-3C5DBBA73190}"/>
    <w:embedBold r:id="rId2" w:fontKey="{A77DA457-A6A6-4246-B056-3DEA116162B4}"/>
    <w:embedItalic r:id="rId3" w:fontKey="{67D9F1D4-1FD8-4B76-AF92-592808F3174F}"/>
    <w:embedBoldItalic r:id="rId4" w:fontKey="{634F0A24-C2A0-4AA9-949D-37CFCB8D2AEA}"/>
  </w:font>
  <w:font w:name="Newsreader Resume Title">
    <w:embedRegular r:id="rId5" w:fontKey="{1A4FF296-3DD1-47B9-AC1F-BDF366C2B8C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