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Accelerator products ship cluttered interfaces under time pressure. I translate research and systems thinking into interface flows, component choices, and usability tests founders can iterate 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Rejected a premature full build after feasibility testing exposed payer-user misalignment and counselling-liability risk - stopping spend before scaled commitment.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 psychometric intake layer for career-guidance flows - translating trait signals into counsellor-ready prompts without automating judgment calls.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Connected online pathways to 2 physical destinations - Welcome Areas and the Woodland Cafe - so discovery, safeguarding, and community participation resolve in real places.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Shifted the growth model away from daily active users toward offline belonging - building accountability architecture with intentional verification friction for under-16 access.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critique of design education into 7 connected formats: curriculum, essays, short film, music score, microsite, documentation, and spatial manifestation.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Strategic Ambiguity; Corporate Entrepreneurship; Building Next-Generation Startups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40D60A4-3225-40F0-A8A0-5E7D593CED6B}"/>
    <w:embedBold r:id="rId2" w:fontKey="{43EE81C0-1CF6-485A-A4F8-78CD802BF8AD}"/>
    <w:embedItalic r:id="rId3" w:fontKey="{B9258874-ECE5-499A-887A-BA9D502BB92D}"/>
    <w:embedBoldItalic r:id="rId4" w:fontKey="{E70F5BF9-B72C-409F-B3D2-536DF7B985C8}"/>
  </w:font>
  <w:font w:name="Newsreader Resume Title">
    <w:embedRegular r:id="rId5" w:fontKey="{E9B80BED-D335-4BEE-BA4F-187DFA805FA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