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DESIGN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translate inclusive research and stakeholder needs into implementable civic-service journeys.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pre-scale GTM experiments testing demand, counsellor capacity, and unit economics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cap-table scenarios and angel-outreach materials, assessing investor fit against liability and payer-user alignment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property and inventory checks, tenancy review, risk logs, stakeholder coordination, and documented handover.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MVP, identity, tokens, skeleton states, posters, and venue touchpoints with safeguarding-aware service handoffs.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Prioritised offline belonging over daily active users, with accountability and intentional verification friction for under-16 access.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guerrilla campaign concepts and a reusable creative kit to explain carbon-market expertise and attract qualified interest.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carbon-credit diligence and ESG research into Redshaw Advisors’ positioning, audience architecture, and campaign system.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Social Impact Challenge; Design Thinking in Web Design; Design 1;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B7676DE4-3E10-4EFD-BAB4-5626109AE7D4}"/>
    <w:embedBold r:id="rId2" w:fontKey="{C1766B60-E0A3-4DEB-ABBF-0980C6836CFF}"/>
    <w:embedItalic r:id="rId3" w:fontKey="{DC0C29A1-DDB0-42C2-9261-8F4471EE12DC}"/>
    <w:embedBoldItalic r:id="rId4" w:fontKey="{FE108632-8D8B-4720-8D3E-059563FBEE73}"/>
  </w:font>
  <w:font w:name="Newsreader Resume Title">
    <w:embedRegular r:id="rId5" w:fontKey="{E86B5733-3666-44D8-B61C-8B8CCCF89BC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