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INVESTMENT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Platform teams exist to compound founder success, not run events. I connect programming, community introductions, and diligence support into a fund-wide value-add engine.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Founder and President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Hult AI Collective, 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Took Hult’s student AI organisation from operating concept to public launch by building its programming calendar, outreach cadence, event delivery, treasury controls, and technical infrastructure.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Used partner-fit research to prioritise institutional and commercial prospects, then tailored outreach and follow-up into a sponsorship pipeline for HAC events and programmes.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Margadarshaka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Technical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Rejected a premature full build after feasibility testing exposed payer-user misalignment and counselling-liability risk - stopping spend before scaled commitment.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Ran structured discovery with six-plus practitioners on how AI-assisted career guidance is shifting - synthesising forecasts into product and positioning choices.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US Defence Drone Spinout Commercialisation Assessment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2025–May 2025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Assessed a US academic drone spinout using KTH Innovation-style venture-readiness criteria, testing technical feasibility, commercial potential, company formation, and execution risk.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Flagged material governance and business-law risks across university IP ownership, licensing, founder roles, vesting, cap-table formation, funding-round dilution, and defence regulation.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Project GANET - Finance Digital Garden and Learning Collective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Enriched the vault with OpenBB, yield-curve series, market calendars, SEC EDGAR filings, news RSS, and macro sources while preserving provenance through Appwrite snapshots.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Published a frozen static snapshot with zero runtime data dependencies and MkDocs provenance docs so templates and models stayed auditable beyond a single assignment.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Corporate Entrepreneurship; Social Impact Challenge; Building Next-Generation Startups; Design Thinking in Web Design; Creativity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2CBD1B4E-8DED-4750-8032-F72C89F794BE}"/>
    <w:embedBold r:id="rId2" w:fontKey="{0BC29473-454D-4D36-955C-A5864615607F}"/>
    <w:embedItalic r:id="rId3" w:fontKey="{5022F9EC-D818-4BE6-B5C0-22AE3EB0D551}"/>
    <w:embedBoldItalic r:id="rId4" w:fontKey="{8242D7B4-CCAE-4D49-B34A-25E7603DF14E}"/>
  </w:font>
  <w:font w:name="Newsreader Resume Title">
    <w:embedRegular r:id="rId5" w:fontKey="{CCA2BA06-7253-411C-B872-7048702F33EF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