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INVESTMENT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build market maps, assess teams and products, and prepare investment narratives for London pre-seed diligence.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seven-part diligence framework covering market, operator, asset, legal, commercial, valuation, and execution risks.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cap-table scenarios and angel-outreach materials, assessing investor fit against liability and payer-user alignment risks.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Stopped a premature full build after feasibility tests exposed payer-user misalignment and counselling-liability risk.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industry tearsheet and diligence pack for an anonymised London VC evaluating Tel Aviv-based Duve during its bridge between seed and Series 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Duve’s investment case against PMS dependencies, hotel-operator workflows, rollout friction, customer concentration, downside exposure, and integration upside.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Published a frozen static snapshot with zero runtime data dependencies and MkDocs provenance docs so templates and models stayed auditable beyond a single assignment.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Design Thinking in Practice; Building Next-Generation Startups; Design Thinking in Web Design;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33EE29D-6935-4E1F-BA64-D312329AEF0F}"/>
    <w:embedBold r:id="rId2" w:fontKey="{830BA9D6-0B0A-478F-8BED-2061E47C44B3}"/>
    <w:embedItalic r:id="rId3" w:fontKey="{37D54D20-6478-409D-8141-22D5605A0297}"/>
    <w:embedBoldItalic r:id="rId4" w:fontKey="{F951EDDF-1380-49C8-9B76-EAE9F70077D9}"/>
  </w:font>
  <w:font w:name="Newsreader Resume Title">
    <w:embedRegular r:id="rId5" w:fontKey="{B758600D-EC62-4420-863C-64DA8E5B287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