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INVESTMENT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Growth-stage funds need conviction on unit economics, not TAM slides. I evaluate scaling markets, cohort retention, and expansion risk for Series A-C diligence committees.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SRBS Group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Associate to the Managing Director,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 reusable seven-part diligence framework spanning market attractiveness, operator quality, asset condition, legal exposure, commercial fit, valuation logic, and post-transaction execution risk.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Recommended - and subsequently helped execute - the approximately GBP 40,000 Shimla hotel lease after integrating market conditions, prior operator books, asset quality, downside risk, operating fit, and valuation.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Margadarshaka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Technical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Drafted early cap-table scenarios and angel-outreach materials while mapping investor fit against counselling-liability and payer-user alignment risks.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Set stage gates on demand, delivery economics, and human-review cost - testing each before authorising the next build tranche.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Duve Venture Diligence and Industry Tearsheet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2025–May 2025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Spec Strategy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Tested Duve’s investment case against PMS dependencies, hotel-operator workflows, rollout friction, customer concentration, downside exposure, and integration upside.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Framed Duve as a conditional follow-up - not a clean proceed/pass - naming PMS integration dependency, rollout friction, and customer concentration as diligence gates before conviction.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Toast Hotel F&amp;B Expansion Strategy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Applied Consulting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2025–Dec 2025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Used VRIO to identify Toast’s deployment capability across 156,000 locations and USD 186 billion in annual payment volume as the defensible base for a hotel F&amp;B vertical.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Compared Toast’s core restaurant economics with a 50-200-property hotel-chain model, deriving USD 120,000 ACV, 11.9:1 LTV/CAC versus 1.4:1 in core, and USD 6.82 billion incremental 10-year NPV.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 Thinking in Practice; Social Impact Challenge; Creativity; Acting 101: Voice, Body, and Character; Corporate Entrepreneurship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76E95001-F243-497A-B16E-65DC54FFE0B2}"/>
    <w:embedBold r:id="rId2" w:fontKey="{6484452E-323A-43F4-8DA0-38A760B1FB65}"/>
    <w:embedItalic r:id="rId3" w:fontKey="{5DC9648B-DB40-451D-BCD6-85E379841A71}"/>
    <w:embedBoldItalic r:id="rId4" w:fontKey="{2F219FE0-744A-44FF-B90D-CFBD3E31C328}"/>
  </w:font>
  <w:font w:name="Newsreader Resume Title">
    <w:embedRegular r:id="rId5" w:fontKey="{AB02631E-C01A-4865-B5EA-60A23C9D1FAE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