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BRAND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Campaign launches fracture when identity is not systematised. I build poster systems, venue touchpoints, and asset libraries that keep multi-channel rollouts visually coherent.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Margadarshaka delivery in two-week Scrum cadences - backlog grooming, design handoffs, and Kanban visibility across engineering and counselling stakeholders.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Turned post-call transcripts into structured case dossiers and counsellor dashboards - linking entities, session history, and follow-up tasks in one view.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Healthcare Venture (Client Anonymised)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Jun 2024–Aug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Technology and Strategy Consultant Intern, London, UK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Translated stakeholder interviews into two decision-ready deliverables: a post-discovery market report and a phased entry plan grounded in customer segments and product thesis.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Moved the venture from discovery to launch readiness in two months by shipping three assets: an MVP website, information architecture, and implementation roadmap.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OULM - One YMCA Youth Community Platform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Client Advisory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Led a 5-person team in designing OULM across 3 service areas - Bedfordshire, Hertfordshire, and Luton - moving young people from digital discovery and booking into Welcome Areas and the Woodland Cafe.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Delivered six connected outputs - technical MVP, identity, design tokens, skeleton states, posters, and venue touchpoints - as a safeguarding-aware service ecosystem with legible handoffs.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Redshaw Advisors Brand Strategy and Campaign Kit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Pro Bono Advisor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Paired the repositioning with guerrilla campaign concepts and a reusable creative kit designed to make specialist carbon-market expertise more legible and convert attention into qualified interest.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Redesigned Redshaw Advisors’ positioning by turning carbon-credit diligence and ESG research into a legible brand proposition, audience architecture, and campaign system.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Creativity; Design Thinking in Practice; Design Thinking in Web Design; Design 1; Strategic Ambiguity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D6BD0EF0-4932-4104-AFEB-0C09CA599300}"/>
    <w:embedBold r:id="rId2" w:fontKey="{C3D8E343-0D7C-4672-9FB0-8FBBD1A844C6}"/>
    <w:embedItalic r:id="rId3" w:fontKey="{F007007A-C3C6-4254-83B5-66FF8F155CBE}"/>
    <w:embedBoldItalic r:id="rId4" w:fontKey="{A6D02054-5952-47FB-B40A-D0032DF39694}"/>
  </w:font>
  <w:font w:name="Newsreader Resume Title">
    <w:embedRegular r:id="rId5" w:fontKey="{D3F91FC8-1F3B-42E4-9007-590626F2E81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