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E3A8A"/>
          <w:sz w:val="48"/>
        </w:rPr>
        <w:t>SOFTWARE REQUIREMENTS SPECIFICATION (SRS)</w:t>
      </w:r>
    </w:p>
    <w:p>
      <w:pPr>
        <w:spacing w:before="0" w:after="360"/>
        <w:jc w:val="center"/>
      </w:pPr>
      <w:r>
        <w:rPr>
          <w:rFonts w:ascii="Calibri" w:hAnsi="Calibri"/>
          <w:color w:val="4F46E5"/>
          <w:sz w:val="26"/>
        </w:rPr>
        <w:t>IEEE Standard 830-1998 Compliant Specification | Online Event Registration System (EventHub)</w:t>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pPr>
              <w:spacing w:after="40"/>
            </w:pPr>
            <w:r>
              <w:rPr>
                <w:rFonts w:ascii="Calibri" w:hAnsi="Calibri"/>
                <w:b/>
                <w:color w:val="0F172A"/>
                <w:sz w:val="19"/>
              </w:rPr>
              <w:t>Project Title:</w:t>
            </w:r>
            <w:r>
              <w:rPr>
                <w:rFonts w:ascii="Calibri" w:hAnsi="Calibri"/>
                <w:color w:val="1E3A8A"/>
                <w:sz w:val="19"/>
              </w:rPr>
              <w:t xml:space="preserve"> Online Event Registration System (EventHub)</w:t>
            </w:r>
          </w:p>
        </w:tc>
        <w:tc>
          <w:tcPr>
            <w:tcW w:type="dxa" w:w="4680"/>
            <w:shd w:fill="F1F5F9"/>
            <w:tcMar>
              <w:top w:w="80" w:type="dxa"/>
              <w:bottom w:w="80" w:type="dxa"/>
              <w:left w:w="120" w:type="dxa"/>
              <w:right w:w="120" w:type="dxa"/>
            </w:tcMar>
          </w:tcPr>
          <w:p>
            <w:pPr>
              <w:spacing w:after="40"/>
            </w:pPr>
            <w:r>
              <w:rPr>
                <w:rFonts w:ascii="Calibri" w:hAnsi="Calibri"/>
                <w:b/>
                <w:color w:val="0F172A"/>
                <w:sz w:val="19"/>
              </w:rPr>
              <w:t>Document Status:</w:t>
            </w:r>
            <w:r>
              <w:rPr>
                <w:rFonts w:ascii="Calibri" w:hAnsi="Calibri"/>
                <w:color w:val="1E3A8A"/>
                <w:sz w:val="19"/>
              </w:rPr>
              <w:t xml:space="preserve"> Approved &amp; Verified</w:t>
            </w:r>
          </w:p>
        </w:tc>
      </w:tr>
      <w:tr>
        <w:tc>
          <w:tcPr>
            <w:tcW w:type="dxa" w:w="4680"/>
            <w:shd w:fill="F1F5F9"/>
            <w:tcMar>
              <w:top w:w="80" w:type="dxa"/>
              <w:bottom w:w="80" w:type="dxa"/>
              <w:left w:w="120" w:type="dxa"/>
              <w:right w:w="120" w:type="dxa"/>
            </w:tcMar>
          </w:tcPr>
          <w:p>
            <w:pPr>
              <w:spacing w:after="40"/>
            </w:pPr>
            <w:r>
              <w:rPr>
                <w:rFonts w:ascii="Calibri" w:hAnsi="Calibri"/>
                <w:b/>
                <w:color w:val="0F172A"/>
                <w:sz w:val="19"/>
              </w:rPr>
              <w:t>Academic Track:</w:t>
            </w:r>
            <w:r>
              <w:rPr>
                <w:rFonts w:ascii="Calibri" w:hAnsi="Calibri"/>
                <w:color w:val="1E3A8A"/>
                <w:sz w:val="19"/>
              </w:rPr>
              <w:t xml:space="preserve"> Secure Software Engineering (SSE)</w:t>
            </w:r>
          </w:p>
        </w:tc>
        <w:tc>
          <w:tcPr>
            <w:tcW w:type="dxa" w:w="4680"/>
            <w:shd w:fill="F1F5F9"/>
            <w:tcMar>
              <w:top w:w="80" w:type="dxa"/>
              <w:bottom w:w="80" w:type="dxa"/>
              <w:left w:w="120" w:type="dxa"/>
              <w:right w:w="120" w:type="dxa"/>
            </w:tcMar>
          </w:tcPr>
          <w:p>
            <w:pPr>
              <w:spacing w:after="40"/>
            </w:pPr>
            <w:r>
              <w:rPr>
                <w:rFonts w:ascii="Calibri" w:hAnsi="Calibri"/>
                <w:b/>
                <w:color w:val="0F172A"/>
                <w:sz w:val="19"/>
              </w:rPr>
              <w:t>Security Rating:</w:t>
            </w:r>
            <w:r>
              <w:rPr>
                <w:rFonts w:ascii="Calibri" w:hAnsi="Calibri"/>
                <w:color w:val="1E3A8A"/>
                <w:sz w:val="19"/>
              </w:rPr>
              <w:t xml:space="preserve"> 20/20 Critical Security Invariants Passed</w:t>
            </w:r>
          </w:p>
        </w:tc>
      </w:tr>
    </w:tbl>
    <w:p>
      <w:pPr>
        <w:spacing w:after="240"/>
      </w:pPr>
    </w:p>
    <w:p>
      <w:pPr>
        <w:keepNext/>
        <w:spacing w:before="320" w:after="120"/>
      </w:pPr>
      <w:r>
        <w:rPr>
          <w:rFonts w:ascii="Arial" w:hAnsi="Arial"/>
          <w:b/>
          <w:color w:val="1E3A8A"/>
          <w:sz w:val="30"/>
        </w:rPr>
        <w:t>1. Introduction</w:t>
      </w:r>
    </w:p>
    <w:p>
      <w:pPr>
        <w:keepNext/>
        <w:spacing w:before="240" w:after="80"/>
      </w:pPr>
      <w:r>
        <w:rPr>
          <w:rFonts w:ascii="Arial" w:hAnsi="Arial"/>
          <w:b/>
          <w:color w:val="4F46E5"/>
          <w:sz w:val="25"/>
        </w:rPr>
        <w:t>1.1 Purpose</w:t>
      </w:r>
    </w:p>
    <w:p>
      <w:pPr>
        <w:spacing w:after="100" w:line="276" w:lineRule="auto"/>
      </w:pPr>
      <w:r>
        <w:rPr>
          <w:rFonts w:ascii="Calibri" w:hAnsi="Calibri"/>
          <w:i w:val="0"/>
          <w:color w:val="0F172A"/>
          <w:sz w:val="20"/>
        </w:rPr>
        <w:t>This Software Requirements Specification (SRS) establishes the complete functional, non-functional, interface, and security requirements for the Online Event Registration System (EventHub). EventHub is designed for university and college campuses to govern event publishing, manage participant quotas, execute atomic event registrations, enforce student data privacy, and maintain a tamper-evident audit trail.</w:t>
      </w:r>
    </w:p>
    <w:p>
      <w:pPr>
        <w:keepNext/>
        <w:spacing w:before="240" w:after="80"/>
      </w:pPr>
      <w:r>
        <w:rPr>
          <w:rFonts w:ascii="Arial" w:hAnsi="Arial"/>
          <w:b/>
          <w:color w:val="4F46E5"/>
          <w:sz w:val="25"/>
        </w:rPr>
        <w:t>1.2 Scope</w:t>
      </w:r>
    </w:p>
    <w:p>
      <w:pPr>
        <w:spacing w:after="100" w:line="276" w:lineRule="auto"/>
      </w:pPr>
      <w:r>
        <w:rPr>
          <w:rFonts w:ascii="Calibri" w:hAnsi="Calibri"/>
          <w:i w:val="0"/>
          <w:color w:val="0F172A"/>
          <w:sz w:val="20"/>
        </w:rPr>
        <w:t>EventHub encompasses a single-page application client (React 18 + TypeScript), a secure asynchronous REST API gateway (FastAPI 0.115), and a relational database management system (PostgreSQL 16). The scope includes multi-role authentication, event publishing workflows, concurrency-controlled seat allocation, self-cancellation with capacity recovery, attendee roster privacy, and system oversight.</w:t>
      </w:r>
    </w:p>
    <w:p>
      <w:pPr>
        <w:keepNext/>
        <w:spacing w:before="240" w:after="80"/>
      </w:pPr>
      <w:r>
        <w:rPr>
          <w:rFonts w:ascii="Arial" w:hAnsi="Arial"/>
          <w:b/>
          <w:color w:val="4F46E5"/>
          <w:sz w:val="25"/>
        </w:rPr>
        <w:t>1.3 Definitions, Acronyms &amp; Abbreviations</w:t>
      </w:r>
    </w:p>
    <w:tbl>
      <w:tblPr>
        <w:tblW w:type="auto" w:w="0"/>
        <w:jc w:val="center"/>
        <w:tblLook w:firstColumn="1" w:firstRow="1" w:lastColumn="0" w:lastRow="0" w:noHBand="0" w:noVBand="1" w:val="04A0"/>
      </w:tblPr>
      <w:tblGrid>
        <w:gridCol w:w="4680"/>
        <w:gridCol w:w="4680"/>
      </w:tblGrid>
      <w:tr>
        <w:tc>
          <w:tcPr>
            <w:tcW w:type="dxa" w:w="2592"/>
            <w:shd w:fill="1E3A8A"/>
            <w:tcMar>
              <w:top w:w="100" w:type="dxa"/>
              <w:bottom w:w="100" w:type="dxa"/>
              <w:left w:w="120" w:type="dxa"/>
              <w:right w:w="120" w:type="dxa"/>
            </w:tcMar>
          </w:tcPr>
          <w:p>
            <w:pPr>
              <w:spacing w:after="0"/>
            </w:pPr>
            <w:r>
              <w:rPr>
                <w:rFonts w:ascii="Calibri" w:hAnsi="Calibri"/>
                <w:b/>
                <w:color w:val="FFFFFF"/>
                <w:sz w:val="19"/>
              </w:rPr>
              <w:t>Term / Acronym</w:t>
            </w:r>
          </w:p>
        </w:tc>
        <w:tc>
          <w:tcPr>
            <w:tcW w:type="dxa" w:w="6768"/>
            <w:shd w:fill="1E3A8A"/>
            <w:tcMar>
              <w:top w:w="100" w:type="dxa"/>
              <w:bottom w:w="100" w:type="dxa"/>
              <w:left w:w="120" w:type="dxa"/>
              <w:right w:w="120" w:type="dxa"/>
            </w:tcMar>
          </w:tcPr>
          <w:p>
            <w:pPr>
              <w:spacing w:after="0"/>
            </w:pPr>
            <w:r>
              <w:rPr>
                <w:rFonts w:ascii="Calibri" w:hAnsi="Calibri"/>
                <w:b/>
                <w:color w:val="FFFFFF"/>
                <w:sz w:val="19"/>
              </w:rPr>
              <w:t>Full Definition &amp; Context</w:t>
            </w:r>
          </w:p>
        </w:tc>
      </w:tr>
      <w:tr>
        <w:tc>
          <w:tcPr>
            <w:tcW w:type="dxa" w:w="2592"/>
            <w:shd w:fill="FFFFFF"/>
            <w:tcMar>
              <w:top w:w="70" w:type="dxa"/>
              <w:bottom w:w="70" w:type="dxa"/>
              <w:left w:w="100" w:type="dxa"/>
              <w:right w:w="100" w:type="dxa"/>
            </w:tcMar>
          </w:tcPr>
          <w:p>
            <w:pPr>
              <w:spacing w:after="0"/>
            </w:pPr>
            <w:r>
              <w:rPr>
                <w:rFonts w:ascii="Calibri" w:hAnsi="Calibri"/>
                <w:color w:val="0F172A"/>
                <w:sz w:val="18"/>
              </w:rPr>
              <w:t>RBAC</w:t>
            </w:r>
          </w:p>
        </w:tc>
        <w:tc>
          <w:tcPr>
            <w:tcW w:type="dxa" w:w="6768"/>
            <w:shd w:fill="FFFFFF"/>
            <w:tcMar>
              <w:top w:w="70" w:type="dxa"/>
              <w:bottom w:w="70" w:type="dxa"/>
              <w:left w:w="100" w:type="dxa"/>
              <w:right w:w="100" w:type="dxa"/>
            </w:tcMar>
          </w:tcPr>
          <w:p>
            <w:pPr>
              <w:spacing w:after="0"/>
            </w:pPr>
            <w:r>
              <w:rPr>
                <w:rFonts w:ascii="Calibri" w:hAnsi="Calibri"/>
                <w:color w:val="0F172A"/>
                <w:sz w:val="18"/>
              </w:rPr>
              <w:t>Role-Based Access Control: Restricting system access based on authenticated user roles (Student, Faculty, Admin).</w:t>
            </w:r>
          </w:p>
        </w:tc>
      </w:tr>
      <w:tr>
        <w:tc>
          <w:tcPr>
            <w:tcW w:type="dxa" w:w="2592"/>
            <w:shd w:fill="F8FAFC"/>
            <w:tcMar>
              <w:top w:w="70" w:type="dxa"/>
              <w:bottom w:w="70" w:type="dxa"/>
              <w:left w:w="100" w:type="dxa"/>
              <w:right w:w="100" w:type="dxa"/>
            </w:tcMar>
          </w:tcPr>
          <w:p>
            <w:pPr>
              <w:spacing w:after="0"/>
            </w:pPr>
            <w:r>
              <w:rPr>
                <w:rFonts w:ascii="Calibri" w:hAnsi="Calibri"/>
                <w:color w:val="0F172A"/>
                <w:sz w:val="18"/>
              </w:rPr>
              <w:t>IDOR</w:t>
            </w:r>
          </w:p>
        </w:tc>
        <w:tc>
          <w:tcPr>
            <w:tcW w:type="dxa" w:w="6768"/>
            <w:shd w:fill="F8FAFC"/>
            <w:tcMar>
              <w:top w:w="70" w:type="dxa"/>
              <w:bottom w:w="70" w:type="dxa"/>
              <w:left w:w="100" w:type="dxa"/>
              <w:right w:w="100" w:type="dxa"/>
            </w:tcMar>
          </w:tcPr>
          <w:p>
            <w:pPr>
              <w:spacing w:after="0"/>
            </w:pPr>
            <w:r>
              <w:rPr>
                <w:rFonts w:ascii="Calibri" w:hAnsi="Calibri"/>
                <w:color w:val="0F172A"/>
                <w:sz w:val="18"/>
              </w:rPr>
              <w:t>Insecure Direct Object Reference: Vulnerability allowing actors to access unauthorized records by tampering with request identifiers.</w:t>
            </w:r>
          </w:p>
        </w:tc>
      </w:tr>
      <w:tr>
        <w:tc>
          <w:tcPr>
            <w:tcW w:type="dxa" w:w="2592"/>
            <w:shd w:fill="FFFFFF"/>
            <w:tcMar>
              <w:top w:w="70" w:type="dxa"/>
              <w:bottom w:w="70" w:type="dxa"/>
              <w:left w:w="100" w:type="dxa"/>
              <w:right w:w="100" w:type="dxa"/>
            </w:tcMar>
          </w:tcPr>
          <w:p>
            <w:pPr>
              <w:spacing w:after="0"/>
            </w:pPr>
            <w:r>
              <w:rPr>
                <w:rFonts w:ascii="Calibri" w:hAnsi="Calibri"/>
                <w:color w:val="0F172A"/>
                <w:sz w:val="18"/>
              </w:rPr>
              <w:t>TOCTOU</w:t>
            </w:r>
          </w:p>
        </w:tc>
        <w:tc>
          <w:tcPr>
            <w:tcW w:type="dxa" w:w="6768"/>
            <w:shd w:fill="FFFFFF"/>
            <w:tcMar>
              <w:top w:w="70" w:type="dxa"/>
              <w:bottom w:w="70" w:type="dxa"/>
              <w:left w:w="100" w:type="dxa"/>
              <w:right w:w="100" w:type="dxa"/>
            </w:tcMar>
          </w:tcPr>
          <w:p>
            <w:pPr>
              <w:spacing w:after="0"/>
            </w:pPr>
            <w:r>
              <w:rPr>
                <w:rFonts w:ascii="Calibri" w:hAnsi="Calibri"/>
                <w:color w:val="0F172A"/>
                <w:sz w:val="18"/>
              </w:rPr>
              <w:t>Time-of-Check to Time-of-Use: Concurrency race condition where state changes between validation and insertion.</w:t>
            </w:r>
          </w:p>
        </w:tc>
      </w:tr>
      <w:tr>
        <w:tc>
          <w:tcPr>
            <w:tcW w:type="dxa" w:w="2592"/>
            <w:shd w:fill="F8FAFC"/>
            <w:tcMar>
              <w:top w:w="70" w:type="dxa"/>
              <w:bottom w:w="70" w:type="dxa"/>
              <w:left w:w="100" w:type="dxa"/>
              <w:right w:w="100" w:type="dxa"/>
            </w:tcMar>
          </w:tcPr>
          <w:p>
            <w:pPr>
              <w:spacing w:after="0"/>
            </w:pPr>
            <w:r>
              <w:rPr>
                <w:rFonts w:ascii="Calibri" w:hAnsi="Calibri"/>
                <w:color w:val="0F172A"/>
                <w:sz w:val="18"/>
              </w:rPr>
              <w:t>JWT</w:t>
            </w:r>
          </w:p>
        </w:tc>
        <w:tc>
          <w:tcPr>
            <w:tcW w:type="dxa" w:w="6768"/>
            <w:shd w:fill="F8FAFC"/>
            <w:tcMar>
              <w:top w:w="70" w:type="dxa"/>
              <w:bottom w:w="70" w:type="dxa"/>
              <w:left w:w="100" w:type="dxa"/>
              <w:right w:w="100" w:type="dxa"/>
            </w:tcMar>
          </w:tcPr>
          <w:p>
            <w:pPr>
              <w:spacing w:after="0"/>
            </w:pPr>
            <w:r>
              <w:rPr>
                <w:rFonts w:ascii="Calibri" w:hAnsi="Calibri"/>
                <w:color w:val="0F172A"/>
                <w:sz w:val="18"/>
              </w:rPr>
              <w:t>JSON Web Token: Cryptographically signed token (HMAC-SHA256) used for stateless session management.</w:t>
            </w:r>
          </w:p>
        </w:tc>
      </w:tr>
      <w:tr>
        <w:tc>
          <w:tcPr>
            <w:tcW w:type="dxa" w:w="2592"/>
            <w:shd w:fill="FFFFFF"/>
            <w:tcMar>
              <w:top w:w="70" w:type="dxa"/>
              <w:bottom w:w="70" w:type="dxa"/>
              <w:left w:w="100" w:type="dxa"/>
              <w:right w:w="100" w:type="dxa"/>
            </w:tcMar>
          </w:tcPr>
          <w:p>
            <w:pPr>
              <w:spacing w:after="0"/>
            </w:pPr>
            <w:r>
              <w:rPr>
                <w:rFonts w:ascii="Calibri" w:hAnsi="Calibri"/>
                <w:color w:val="0F172A"/>
                <w:sz w:val="18"/>
              </w:rPr>
              <w:t>ACID</w:t>
            </w:r>
          </w:p>
        </w:tc>
        <w:tc>
          <w:tcPr>
            <w:tcW w:type="dxa" w:w="6768"/>
            <w:shd w:fill="FFFFFF"/>
            <w:tcMar>
              <w:top w:w="70" w:type="dxa"/>
              <w:bottom w:w="70" w:type="dxa"/>
              <w:left w:w="100" w:type="dxa"/>
              <w:right w:w="100" w:type="dxa"/>
            </w:tcMar>
          </w:tcPr>
          <w:p>
            <w:pPr>
              <w:spacing w:after="0"/>
            </w:pPr>
            <w:r>
              <w:rPr>
                <w:rFonts w:ascii="Calibri" w:hAnsi="Calibri"/>
                <w:color w:val="0F172A"/>
                <w:sz w:val="18"/>
              </w:rPr>
              <w:t>Atomicity, Consistency, Isolation, Durability: Database transaction guarantees enforced by PostgreSQL.</w:t>
            </w:r>
          </w:p>
        </w:tc>
      </w:tr>
    </w:tbl>
    <w:p>
      <w:pPr>
        <w:spacing w:after="160"/>
      </w:pPr>
    </w:p>
    <w:p>
      <w:pPr>
        <w:keepNext/>
        <w:spacing w:before="240" w:after="80"/>
      </w:pPr>
      <w:r>
        <w:rPr>
          <w:rFonts w:ascii="Arial" w:hAnsi="Arial"/>
          <w:b/>
          <w:color w:val="4F46E5"/>
          <w:sz w:val="25"/>
        </w:rPr>
        <w:t>1.4 References</w:t>
      </w:r>
    </w:p>
    <w:p>
      <w:pPr>
        <w:spacing w:after="100" w:line="276" w:lineRule="auto"/>
      </w:pPr>
      <w:r>
        <w:rPr>
          <w:rFonts w:ascii="Calibri" w:hAnsi="Calibri"/>
          <w:i w:val="0"/>
          <w:color w:val="0F172A"/>
          <w:sz w:val="20"/>
        </w:rPr>
        <w:t>1. IEEE Std 830-1998: IEEE Recommended Practice for Software Requirements Specifications.</w:t>
        <w:br/>
        <w:t>2. OWASP Top 10 Application Security Risks (2021/2025 Edition).</w:t>
        <w:br/>
        <w:t>3. NIST Special Publication 800-63B: Digital Identity Guidelines (Authentication &amp; Lifecycle Management).</w:t>
        <w:br/>
        <w:t>4. RFC 7519: JSON Web Token (JWT) Architecture Specification.</w:t>
      </w:r>
    </w:p>
    <w:p>
      <w:pPr>
        <w:keepNext/>
        <w:spacing w:before="320" w:after="120"/>
      </w:pPr>
      <w:r>
        <w:rPr>
          <w:rFonts w:ascii="Arial" w:hAnsi="Arial"/>
          <w:b/>
          <w:color w:val="1E3A8A"/>
          <w:sz w:val="30"/>
        </w:rPr>
        <w:t>2. Overall Description</w:t>
      </w:r>
    </w:p>
    <w:p>
      <w:pPr>
        <w:keepNext/>
        <w:spacing w:before="240" w:after="80"/>
      </w:pPr>
      <w:r>
        <w:rPr>
          <w:rFonts w:ascii="Arial" w:hAnsi="Arial"/>
          <w:b/>
          <w:color w:val="4F46E5"/>
          <w:sz w:val="25"/>
        </w:rPr>
        <w:t>2.1 Product Perspective</w:t>
      </w:r>
    </w:p>
    <w:p>
      <w:pPr>
        <w:spacing w:after="100" w:line="276" w:lineRule="auto"/>
      </w:pPr>
      <w:r>
        <w:rPr>
          <w:rFonts w:ascii="Calibri" w:hAnsi="Calibri"/>
          <w:i w:val="0"/>
          <w:color w:val="0F172A"/>
          <w:sz w:val="20"/>
        </w:rPr>
        <w:t>EventHub operates as an autonomous, self-contained, containerized multi-tier web application. The client application communicates with the backend exclusively via HTTPS/JSON RESTful endpoints. Authentication is decoupled from client storage: tokens are delivered in HttpOnly cookies, completely eliminating token theft via Cross-Site Scripting (XSS).</w:t>
      </w:r>
    </w:p>
    <w:p>
      <w:pPr>
        <w:keepNext/>
        <w:spacing w:before="240" w:after="80"/>
      </w:pPr>
      <w:r>
        <w:rPr>
          <w:rFonts w:ascii="Arial" w:hAnsi="Arial"/>
          <w:b/>
          <w:color w:val="4F46E5"/>
          <w:sz w:val="25"/>
        </w:rPr>
        <w:t>2.2 Operating Environment</w:t>
      </w:r>
    </w:p>
    <w:p>
      <w:pPr>
        <w:spacing w:after="100" w:line="276" w:lineRule="auto"/>
      </w:pPr>
      <w:r>
        <w:rPr>
          <w:rFonts w:ascii="Calibri" w:hAnsi="Calibri"/>
          <w:i w:val="0"/>
          <w:color w:val="0F172A"/>
          <w:sz w:val="20"/>
        </w:rPr>
        <w:t>Client: Modern web browsers (Chrome 110+, Firefox 110+, Safari 16+, Edge 110+).</w:t>
        <w:br/>
        <w:t>Backend Runtime: Python 3.11 with FastAPI 0.115, Uvicorn ASGI server.</w:t>
        <w:br/>
        <w:t>Database: PostgreSQL 16 Alpine with connection pooling (fallback to SQLite for local isolated testing).</w:t>
        <w:br/>
        <w:t>Container Environment: Docker 29+, Docker Compose v2, Kubernetes / Minikube.</w:t>
      </w:r>
    </w:p>
    <w:p>
      <w:pPr>
        <w:keepNext/>
        <w:spacing w:before="240" w:after="80"/>
      </w:pPr>
      <w:r>
        <w:rPr>
          <w:rFonts w:ascii="Arial" w:hAnsi="Arial"/>
          <w:b/>
          <w:color w:val="4F46E5"/>
          <w:sz w:val="25"/>
        </w:rPr>
        <w:t>2.3 User Classes &amp; Characteristics</w:t>
      </w:r>
    </w:p>
    <w:p>
      <w:pPr>
        <w:spacing w:after="100" w:line="276" w:lineRule="auto"/>
      </w:pPr>
      <w:r>
        <w:rPr>
          <w:rFonts w:ascii="Calibri" w:hAnsi="Calibri"/>
          <w:b/>
          <w:color w:val="0F172A"/>
          <w:sz w:val="20"/>
        </w:rPr>
        <w:t xml:space="preserve">• </w:t>
      </w:r>
      <w:r>
        <w:rPr>
          <w:rFonts w:ascii="Calibri" w:hAnsi="Calibri"/>
          <w:i w:val="0"/>
          <w:color w:val="0F172A"/>
          <w:sz w:val="20"/>
        </w:rPr>
        <w:t>Guest: Prospective students and visitors browsing event schedules. Technical expertise: Basic.</w:t>
      </w:r>
    </w:p>
    <w:p>
      <w:pPr>
        <w:spacing w:after="100" w:line="276" w:lineRule="auto"/>
      </w:pPr>
      <w:r>
        <w:rPr>
          <w:rFonts w:ascii="Calibri" w:hAnsi="Calibri"/>
          <w:b/>
          <w:color w:val="0F172A"/>
          <w:sz w:val="20"/>
        </w:rPr>
        <w:t xml:space="preserve">• </w:t>
      </w:r>
      <w:r>
        <w:rPr>
          <w:rFonts w:ascii="Calibri" w:hAnsi="Calibri"/>
          <w:i w:val="0"/>
          <w:color w:val="0F172A"/>
          <w:sz w:val="20"/>
        </w:rPr>
        <w:t>Student: Enrolled students registering for events and managing schedules. Technical expertise: Basic to Intermediate.</w:t>
      </w:r>
    </w:p>
    <w:p>
      <w:pPr>
        <w:spacing w:after="100" w:line="276" w:lineRule="auto"/>
      </w:pPr>
      <w:r>
        <w:rPr>
          <w:rFonts w:ascii="Calibri" w:hAnsi="Calibri"/>
          <w:b/>
          <w:color w:val="0F172A"/>
          <w:sz w:val="20"/>
        </w:rPr>
        <w:t xml:space="preserve">• </w:t>
      </w:r>
      <w:r>
        <w:rPr>
          <w:rFonts w:ascii="Calibri" w:hAnsi="Calibri"/>
          <w:i w:val="0"/>
          <w:color w:val="0F172A"/>
          <w:sz w:val="20"/>
        </w:rPr>
        <w:t>Faculty: Department event coordinators setting capacities and downloading attendee rosters. Technical expertise: Intermediate.</w:t>
      </w:r>
    </w:p>
    <w:p>
      <w:pPr>
        <w:spacing w:after="100" w:line="276" w:lineRule="auto"/>
      </w:pPr>
      <w:r>
        <w:rPr>
          <w:rFonts w:ascii="Calibri" w:hAnsi="Calibri"/>
          <w:b/>
          <w:color w:val="0F172A"/>
          <w:sz w:val="20"/>
        </w:rPr>
        <w:t xml:space="preserve">• </w:t>
      </w:r>
      <w:r>
        <w:rPr>
          <w:rFonts w:ascii="Calibri" w:hAnsi="Calibri"/>
          <w:i w:val="0"/>
          <w:color w:val="0F172A"/>
          <w:sz w:val="20"/>
        </w:rPr>
        <w:t>Administrator: University IT administrators auditing security and supervising platform health. Technical expertise: Advanced.</w:t>
      </w:r>
    </w:p>
    <w:p>
      <w:pPr>
        <w:keepNext/>
        <w:spacing w:before="320" w:after="120"/>
      </w:pPr>
      <w:r>
        <w:rPr>
          <w:rFonts w:ascii="Arial" w:hAnsi="Arial"/>
          <w:b/>
          <w:color w:val="1E3A8A"/>
          <w:sz w:val="30"/>
        </w:rPr>
        <w:t>3. System Features &amp; Functional Requirements</w:t>
      </w:r>
    </w:p>
    <w:p>
      <w:pPr>
        <w:keepNext/>
        <w:spacing w:before="240" w:after="80"/>
      </w:pPr>
      <w:r>
        <w:rPr>
          <w:rFonts w:ascii="Arial" w:hAnsi="Arial"/>
          <w:b/>
          <w:color w:val="4F46E5"/>
          <w:sz w:val="25"/>
        </w:rPr>
        <w:t>3.1 Feature: Secure Authentication &amp; Session Management (FR-10, SR-01, SR-07)</w:t>
      </w:r>
    </w:p>
    <w:p>
      <w:pPr>
        <w:spacing w:after="100" w:line="276" w:lineRule="auto"/>
      </w:pPr>
      <w:r>
        <w:rPr>
          <w:rFonts w:ascii="Calibri" w:hAnsi="Calibri"/>
          <w:i w:val="0"/>
          <w:color w:val="0F172A"/>
          <w:sz w:val="20"/>
        </w:rPr>
        <w:t>The system verifies user credentials using Passlib Bcrypt hashing with salt cost factor 12. Upon valid authentication, a cryptographically signed JWT token (PyJWT HS256) is issued inside an HttpOnly, SameSite=Lax, Secure cookie. Calling POST /api/auth/logout sets max-age=0 on the cookie, cleanly terminating authenticated access. Login attempts are throttled by an in-memory sliding-window rate limiter (5 attempts per minute per IP).</w:t>
      </w:r>
    </w:p>
    <w:p>
      <w:pPr>
        <w:keepNext/>
        <w:spacing w:before="240" w:after="80"/>
      </w:pPr>
      <w:r>
        <w:rPr>
          <w:rFonts w:ascii="Arial" w:hAnsi="Arial"/>
          <w:b/>
          <w:color w:val="4F46E5"/>
          <w:sz w:val="25"/>
        </w:rPr>
        <w:t>3.2 Feature: Event Browsing &amp; Searching (FR-01, FR-02)</w:t>
      </w:r>
    </w:p>
    <w:p>
      <w:pPr>
        <w:spacing w:after="100" w:line="276" w:lineRule="auto"/>
      </w:pPr>
      <w:r>
        <w:rPr>
          <w:rFonts w:ascii="Calibri" w:hAnsi="Calibri"/>
          <w:i w:val="0"/>
          <w:color w:val="0F172A"/>
          <w:sz w:val="20"/>
        </w:rPr>
        <w:t>All users, including unauthenticated Guests, can query available events via GET /api/events. The system supports search filtering by keyword (title/description), category (Cybersecurity, AI, Web, Cultural, Symposium, Robotics), and date. Each event displays live confirmed counts and remaining seats calculated dynamically.</w:t>
      </w:r>
    </w:p>
    <w:p>
      <w:pPr>
        <w:keepNext/>
        <w:spacing w:before="240" w:after="80"/>
      </w:pPr>
      <w:r>
        <w:rPr>
          <w:rFonts w:ascii="Arial" w:hAnsi="Arial"/>
          <w:b/>
          <w:color w:val="4F46E5"/>
          <w:sz w:val="25"/>
        </w:rPr>
        <w:t>3.3 Feature: Atomic Event Registration &amp; Concurrency Control (FR-03, SR-05, SR-12)</w:t>
      </w:r>
    </w:p>
    <w:p>
      <w:pPr>
        <w:spacing w:after="100" w:line="276" w:lineRule="auto"/>
      </w:pPr>
      <w:r>
        <w:rPr>
          <w:rFonts w:ascii="Calibri" w:hAnsi="Calibri"/>
          <w:i w:val="0"/>
          <w:color w:val="0F172A"/>
          <w:sz w:val="20"/>
        </w:rPr>
        <w:t>Authenticated Students register via POST /api/events/{id}/register. The service layer initiates an ACID database transaction, acquiring a pessimistic row lock (SELECT ... FOR UPDATE) on the target event. The system verifies that the event is OPEN, the deadline has not passed, the student is not already registered, and confirmed_count &lt; limit. Registration is persisted atomically, and the transaction commits. Duplicate registrations are additionally blocked at the physical database tier by a partial unique index: UNIQUE(event_id, student_id) WHERE status = 'CONFIRMED'.</w:t>
      </w:r>
    </w:p>
    <w:p>
      <w:pPr>
        <w:keepNext/>
        <w:spacing w:before="240" w:after="80"/>
      </w:pPr>
      <w:r>
        <w:rPr>
          <w:rFonts w:ascii="Arial" w:hAnsi="Arial"/>
          <w:b/>
          <w:color w:val="4F46E5"/>
          <w:sz w:val="25"/>
        </w:rPr>
        <w:t>3.4 Feature: Registration Cancellation &amp; Capacity Restoration (FR-04, SR-03)</w:t>
      </w:r>
    </w:p>
    <w:p>
      <w:pPr>
        <w:spacing w:after="100" w:line="276" w:lineRule="auto"/>
      </w:pPr>
      <w:r>
        <w:rPr>
          <w:rFonts w:ascii="Calibri" w:hAnsi="Calibri"/>
          <w:i w:val="0"/>
          <w:color w:val="0F172A"/>
          <w:sz w:val="20"/>
        </w:rPr>
        <w:t>Students can cancel their active bookings via DELETE /api/registrations/{id}. The system verifies object-level authorization: registration.student_id == current_user.id. If authorized, status transitions to CANCELLED, cancelled_at is recorded, and 1 seat of capacity is immediately restored.</w:t>
      </w:r>
    </w:p>
    <w:p>
      <w:pPr>
        <w:keepNext/>
        <w:spacing w:before="240" w:after="80"/>
      </w:pPr>
      <w:r>
        <w:rPr>
          <w:rFonts w:ascii="Arial" w:hAnsi="Arial"/>
          <w:b/>
          <w:color w:val="4F46E5"/>
          <w:sz w:val="25"/>
        </w:rPr>
        <w:t>3.5 Feature: Faculty Event Creation &amp; Management (FR-06, FR-07, FR-09)</w:t>
      </w:r>
    </w:p>
    <w:p>
      <w:pPr>
        <w:spacing w:after="100" w:line="276" w:lineRule="auto"/>
      </w:pPr>
      <w:r>
        <w:rPr>
          <w:rFonts w:ascii="Calibri" w:hAnsi="Calibri"/>
          <w:i w:val="0"/>
          <w:color w:val="0F172A"/>
          <w:sz w:val="20"/>
        </w:rPr>
        <w:t>Faculty members create events via POST /api/events with Pydantic schema validation. Event organizers can close registration early via POST /api/events/{id}/close. The system validates object ownership: event.organizer_id == current_user.id, preventing cross-faculty tampering.</w:t>
      </w:r>
    </w:p>
    <w:p>
      <w:pPr>
        <w:keepNext/>
        <w:spacing w:before="240" w:after="80"/>
      </w:pPr>
      <w:r>
        <w:rPr>
          <w:rFonts w:ascii="Arial" w:hAnsi="Arial"/>
          <w:b/>
          <w:color w:val="4F46E5"/>
          <w:sz w:val="25"/>
        </w:rPr>
        <w:t>3.6 Feature: Protected Participant Roster Access (FR-08, SR-06)</w:t>
      </w:r>
    </w:p>
    <w:p>
      <w:pPr>
        <w:spacing w:after="100" w:line="276" w:lineRule="auto"/>
      </w:pPr>
      <w:r>
        <w:rPr>
          <w:rFonts w:ascii="Calibri" w:hAnsi="Calibri"/>
          <w:i w:val="0"/>
          <w:color w:val="0F172A"/>
          <w:sz w:val="20"/>
        </w:rPr>
        <w:t>Faculty can view confirmed attendees via GET /api/events/{id}/participants. The system verifies that the requesting user organized the event or is an Administrator. Unauthorized attempts by students or other faculty members return HTTP 403 Forbidden and generate security audit alerts.</w:t>
      </w:r>
    </w:p>
    <w:p>
      <w:pPr>
        <w:keepNext/>
        <w:spacing w:before="240" w:after="80"/>
      </w:pPr>
      <w:r>
        <w:rPr>
          <w:rFonts w:ascii="Arial" w:hAnsi="Arial"/>
          <w:b/>
          <w:color w:val="4F46E5"/>
          <w:sz w:val="25"/>
        </w:rPr>
        <w:t>3.7 Feature: Security Audit Logging (SR-09)</w:t>
      </w:r>
    </w:p>
    <w:p>
      <w:pPr>
        <w:spacing w:after="100" w:line="276" w:lineRule="auto"/>
      </w:pPr>
      <w:r>
        <w:rPr>
          <w:rFonts w:ascii="Calibri" w:hAnsi="Calibri"/>
          <w:i w:val="0"/>
          <w:color w:val="0F172A"/>
          <w:sz w:val="20"/>
        </w:rPr>
        <w:t>All authentication attempts, registration events, cancellations, authorization denials, and admin actions are recorded in the append-only audit_logs table with actor_id, action, entity_type, entity_id, timestamp, source_ip, and result.</w:t>
      </w:r>
    </w:p>
    <w:p>
      <w:pPr>
        <w:keepNext/>
        <w:spacing w:before="320" w:after="120"/>
      </w:pPr>
      <w:r>
        <w:rPr>
          <w:rFonts w:ascii="Arial" w:hAnsi="Arial"/>
          <w:b/>
          <w:color w:val="1E3A8A"/>
          <w:sz w:val="30"/>
        </w:rPr>
        <w:t>4. External Interfaces &amp; Data Architecture</w:t>
      </w:r>
    </w:p>
    <w:p>
      <w:pPr>
        <w:keepNext/>
        <w:spacing w:before="240" w:after="80"/>
      </w:pPr>
      <w:r>
        <w:rPr>
          <w:rFonts w:ascii="Arial" w:hAnsi="Arial"/>
          <w:b/>
          <w:color w:val="4F46E5"/>
          <w:sz w:val="25"/>
        </w:rPr>
        <w:t>4.1 User Interfaces</w:t>
      </w:r>
    </w:p>
    <w:p>
      <w:pPr>
        <w:spacing w:after="100" w:line="276" w:lineRule="auto"/>
      </w:pPr>
      <w:r>
        <w:rPr>
          <w:rFonts w:ascii="Calibri" w:hAnsi="Calibri"/>
          <w:i w:val="0"/>
          <w:color w:val="0F172A"/>
          <w:sz w:val="20"/>
        </w:rPr>
        <w:t>Modern responsive web interface built with React 18, Vite, and TypeScript. Features high-contrast accessibility (WCAG 2.1 AA), responsive grid cards, clear navigation, and empty/loading states.</w:t>
      </w:r>
    </w:p>
    <w:p>
      <w:pPr>
        <w:keepNext/>
        <w:spacing w:before="240" w:after="80"/>
      </w:pPr>
      <w:r>
        <w:rPr>
          <w:rFonts w:ascii="Arial" w:hAnsi="Arial"/>
          <w:b/>
          <w:color w:val="4F46E5"/>
          <w:sz w:val="25"/>
        </w:rPr>
        <w:t>4.2 Database Schema Architecture</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1E3A8A"/>
            <w:tcMar>
              <w:top w:w="100" w:type="dxa"/>
              <w:bottom w:w="100" w:type="dxa"/>
              <w:left w:w="120" w:type="dxa"/>
              <w:right w:w="120" w:type="dxa"/>
            </w:tcMar>
          </w:tcPr>
          <w:p>
            <w:pPr>
              <w:spacing w:after="0"/>
            </w:pPr>
            <w:r>
              <w:rPr>
                <w:rFonts w:ascii="Calibri" w:hAnsi="Calibri"/>
                <w:b/>
                <w:color w:val="FFFFFF"/>
                <w:sz w:val="19"/>
              </w:rPr>
              <w:t>Entity</w:t>
            </w:r>
          </w:p>
        </w:tc>
        <w:tc>
          <w:tcPr>
            <w:tcW w:type="dxa" w:w="1296"/>
            <w:shd w:fill="1E3A8A"/>
            <w:tcMar>
              <w:top w:w="100" w:type="dxa"/>
              <w:bottom w:w="100" w:type="dxa"/>
              <w:left w:w="120" w:type="dxa"/>
              <w:right w:w="120" w:type="dxa"/>
            </w:tcMar>
          </w:tcPr>
          <w:p>
            <w:pPr>
              <w:spacing w:after="0"/>
            </w:pPr>
            <w:r>
              <w:rPr>
                <w:rFonts w:ascii="Calibri" w:hAnsi="Calibri"/>
                <w:b/>
                <w:color w:val="FFFFFF"/>
                <w:sz w:val="19"/>
              </w:rPr>
              <w:t>Primary Key</w:t>
            </w:r>
          </w:p>
        </w:tc>
        <w:tc>
          <w:tcPr>
            <w:tcW w:type="dxa" w:w="2160"/>
            <w:shd w:fill="1E3A8A"/>
            <w:tcMar>
              <w:top w:w="100" w:type="dxa"/>
              <w:bottom w:w="100" w:type="dxa"/>
              <w:left w:w="120" w:type="dxa"/>
              <w:right w:w="120" w:type="dxa"/>
            </w:tcMar>
          </w:tcPr>
          <w:p>
            <w:pPr>
              <w:spacing w:after="0"/>
            </w:pPr>
            <w:r>
              <w:rPr>
                <w:rFonts w:ascii="Calibri" w:hAnsi="Calibri"/>
                <w:b/>
                <w:color w:val="FFFFFF"/>
                <w:sz w:val="19"/>
              </w:rPr>
              <w:t>Foreign Keys</w:t>
            </w:r>
          </w:p>
        </w:tc>
        <w:tc>
          <w:tcPr>
            <w:tcW w:type="dxa" w:w="2592"/>
            <w:shd w:fill="1E3A8A"/>
            <w:tcMar>
              <w:top w:w="100" w:type="dxa"/>
              <w:bottom w:w="100" w:type="dxa"/>
              <w:left w:w="120" w:type="dxa"/>
              <w:right w:w="120" w:type="dxa"/>
            </w:tcMar>
          </w:tcPr>
          <w:p>
            <w:pPr>
              <w:spacing w:after="0"/>
            </w:pPr>
            <w:r>
              <w:rPr>
                <w:rFonts w:ascii="Calibri" w:hAnsi="Calibri"/>
                <w:b/>
                <w:color w:val="FFFFFF"/>
                <w:sz w:val="19"/>
              </w:rPr>
              <w:t>Key Constraints &amp; Indexes</w:t>
            </w:r>
          </w:p>
        </w:tc>
        <w:tc>
          <w:tcPr>
            <w:tcW w:type="dxa" w:w="1872"/>
            <w:shd w:fill="1E3A8A"/>
            <w:tcMar>
              <w:top w:w="100" w:type="dxa"/>
              <w:bottom w:w="100" w:type="dxa"/>
              <w:left w:w="120" w:type="dxa"/>
              <w:right w:w="120" w:type="dxa"/>
            </w:tcMar>
          </w:tcPr>
          <w:p>
            <w:pPr>
              <w:spacing w:after="0"/>
            </w:pPr>
            <w:r>
              <w:rPr>
                <w:rFonts w:ascii="Calibri" w:hAnsi="Calibri"/>
                <w:b/>
                <w:color w:val="FFFFFF"/>
                <w:sz w:val="19"/>
              </w:rPr>
              <w:t>Security Function</w:t>
            </w:r>
          </w:p>
        </w:tc>
      </w:tr>
      <w:tr>
        <w:tc>
          <w:tcPr>
            <w:tcW w:type="dxa" w:w="1440"/>
            <w:shd w:fill="FFFFFF"/>
            <w:tcMar>
              <w:top w:w="70" w:type="dxa"/>
              <w:bottom w:w="70" w:type="dxa"/>
              <w:left w:w="100" w:type="dxa"/>
              <w:right w:w="100" w:type="dxa"/>
            </w:tcMar>
          </w:tcPr>
          <w:p>
            <w:pPr>
              <w:spacing w:after="0"/>
            </w:pPr>
            <w:r>
              <w:rPr>
                <w:rFonts w:ascii="Calibri" w:hAnsi="Calibri"/>
                <w:color w:val="0F172A"/>
                <w:sz w:val="18"/>
              </w:rPr>
              <w:t>users</w:t>
            </w:r>
          </w:p>
        </w:tc>
        <w:tc>
          <w:tcPr>
            <w:tcW w:type="dxa" w:w="1296"/>
            <w:shd w:fill="FFFFFF"/>
            <w:tcMar>
              <w:top w:w="70" w:type="dxa"/>
              <w:bottom w:w="70" w:type="dxa"/>
              <w:left w:w="100" w:type="dxa"/>
              <w:right w:w="100" w:type="dxa"/>
            </w:tcMar>
          </w:tcPr>
          <w:p>
            <w:pPr>
              <w:spacing w:after="0"/>
            </w:pPr>
            <w:r>
              <w:rPr>
                <w:rFonts w:ascii="Calibri" w:hAnsi="Calibri"/>
                <w:color w:val="0F172A"/>
                <w:sz w:val="18"/>
              </w:rPr>
              <w:t>id (SERIAL)</w:t>
            </w:r>
          </w:p>
        </w:tc>
        <w:tc>
          <w:tcPr>
            <w:tcW w:type="dxa" w:w="2160"/>
            <w:shd w:fill="FFFFFF"/>
            <w:tcMar>
              <w:top w:w="70" w:type="dxa"/>
              <w:bottom w:w="70" w:type="dxa"/>
              <w:left w:w="100" w:type="dxa"/>
              <w:right w:w="100" w:type="dxa"/>
            </w:tcMar>
          </w:tcPr>
          <w:p>
            <w:pPr>
              <w:spacing w:after="0"/>
            </w:pPr>
            <w:r>
              <w:rPr>
                <w:rFonts w:ascii="Calibri" w:hAnsi="Calibri"/>
                <w:color w:val="0F172A"/>
                <w:sz w:val="18"/>
              </w:rPr>
              <w:t>None</w:t>
            </w:r>
          </w:p>
        </w:tc>
        <w:tc>
          <w:tcPr>
            <w:tcW w:type="dxa" w:w="2592"/>
            <w:shd w:fill="FFFFFF"/>
            <w:tcMar>
              <w:top w:w="70" w:type="dxa"/>
              <w:bottom w:w="70" w:type="dxa"/>
              <w:left w:w="100" w:type="dxa"/>
              <w:right w:w="100" w:type="dxa"/>
            </w:tcMar>
          </w:tcPr>
          <w:p>
            <w:pPr>
              <w:spacing w:after="0"/>
            </w:pPr>
            <w:r>
              <w:rPr>
                <w:rFonts w:ascii="Calibri" w:hAnsi="Calibri"/>
                <w:color w:val="0F172A"/>
                <w:sz w:val="18"/>
              </w:rPr>
              <w:t>email (UNIQUE), role (ENUM), is_active</w:t>
            </w:r>
          </w:p>
        </w:tc>
        <w:tc>
          <w:tcPr>
            <w:tcW w:type="dxa" w:w="1872"/>
            <w:shd w:fill="FFFFFF"/>
            <w:tcMar>
              <w:top w:w="70" w:type="dxa"/>
              <w:bottom w:w="70" w:type="dxa"/>
              <w:left w:w="100" w:type="dxa"/>
              <w:right w:w="100" w:type="dxa"/>
            </w:tcMar>
          </w:tcPr>
          <w:p>
            <w:pPr>
              <w:spacing w:after="0"/>
            </w:pPr>
            <w:r>
              <w:rPr>
                <w:rFonts w:ascii="Calibri" w:hAnsi="Calibri"/>
                <w:color w:val="0F172A"/>
                <w:sz w:val="18"/>
              </w:rPr>
              <w:t>Bcrypt password_hash storage, zero plaintext passwords</w:t>
            </w:r>
          </w:p>
        </w:tc>
      </w:tr>
      <w:tr>
        <w:tc>
          <w:tcPr>
            <w:tcW w:type="dxa" w:w="1440"/>
            <w:shd w:fill="F8FAFC"/>
            <w:tcMar>
              <w:top w:w="70" w:type="dxa"/>
              <w:bottom w:w="70" w:type="dxa"/>
              <w:left w:w="100" w:type="dxa"/>
              <w:right w:w="100" w:type="dxa"/>
            </w:tcMar>
          </w:tcPr>
          <w:p>
            <w:pPr>
              <w:spacing w:after="0"/>
            </w:pPr>
            <w:r>
              <w:rPr>
                <w:rFonts w:ascii="Calibri" w:hAnsi="Calibri"/>
                <w:color w:val="0F172A"/>
                <w:sz w:val="18"/>
              </w:rPr>
              <w:t>events</w:t>
            </w:r>
          </w:p>
        </w:tc>
        <w:tc>
          <w:tcPr>
            <w:tcW w:type="dxa" w:w="1296"/>
            <w:shd w:fill="F8FAFC"/>
            <w:tcMar>
              <w:top w:w="70" w:type="dxa"/>
              <w:bottom w:w="70" w:type="dxa"/>
              <w:left w:w="100" w:type="dxa"/>
              <w:right w:w="100" w:type="dxa"/>
            </w:tcMar>
          </w:tcPr>
          <w:p>
            <w:pPr>
              <w:spacing w:after="0"/>
            </w:pPr>
            <w:r>
              <w:rPr>
                <w:rFonts w:ascii="Calibri" w:hAnsi="Calibri"/>
                <w:color w:val="0F172A"/>
                <w:sz w:val="18"/>
              </w:rPr>
              <w:t>id (SERIAL)</w:t>
            </w:r>
          </w:p>
        </w:tc>
        <w:tc>
          <w:tcPr>
            <w:tcW w:type="dxa" w:w="2160"/>
            <w:shd w:fill="F8FAFC"/>
            <w:tcMar>
              <w:top w:w="70" w:type="dxa"/>
              <w:bottom w:w="70" w:type="dxa"/>
              <w:left w:w="100" w:type="dxa"/>
              <w:right w:w="100" w:type="dxa"/>
            </w:tcMar>
          </w:tcPr>
          <w:p>
            <w:pPr>
              <w:spacing w:after="0"/>
            </w:pPr>
            <w:r>
              <w:rPr>
                <w:rFonts w:ascii="Calibri" w:hAnsi="Calibri"/>
                <w:color w:val="0F172A"/>
                <w:sz w:val="18"/>
              </w:rPr>
              <w:t>organizer_id -&gt; users(id)</w:t>
            </w:r>
          </w:p>
        </w:tc>
        <w:tc>
          <w:tcPr>
            <w:tcW w:type="dxa" w:w="2592"/>
            <w:shd w:fill="F8FAFC"/>
            <w:tcMar>
              <w:top w:w="70" w:type="dxa"/>
              <w:bottom w:w="70" w:type="dxa"/>
              <w:left w:w="100" w:type="dxa"/>
              <w:right w:w="100" w:type="dxa"/>
            </w:tcMar>
          </w:tcPr>
          <w:p>
            <w:pPr>
              <w:spacing w:after="0"/>
            </w:pPr>
            <w:r>
              <w:rPr>
                <w:rFonts w:ascii="Calibri" w:hAnsi="Calibri"/>
                <w:color w:val="0F172A"/>
                <w:sz w:val="18"/>
              </w:rPr>
              <w:t>CHECK (participant_limit &gt; 0), status (ENUM)</w:t>
            </w:r>
          </w:p>
        </w:tc>
        <w:tc>
          <w:tcPr>
            <w:tcW w:type="dxa" w:w="1872"/>
            <w:shd w:fill="F8FAFC"/>
            <w:tcMar>
              <w:top w:w="70" w:type="dxa"/>
              <w:bottom w:w="70" w:type="dxa"/>
              <w:left w:w="100" w:type="dxa"/>
              <w:right w:w="100" w:type="dxa"/>
            </w:tcMar>
          </w:tcPr>
          <w:p>
            <w:pPr>
              <w:spacing w:after="0"/>
            </w:pPr>
            <w:r>
              <w:rPr>
                <w:rFonts w:ascii="Calibri" w:hAnsi="Calibri"/>
                <w:color w:val="0F172A"/>
                <w:sz w:val="18"/>
              </w:rPr>
              <w:t>Event capacity caps and organizer ownership mapping</w:t>
            </w:r>
          </w:p>
        </w:tc>
      </w:tr>
      <w:tr>
        <w:tc>
          <w:tcPr>
            <w:tcW w:type="dxa" w:w="1440"/>
            <w:shd w:fill="FFFFFF"/>
            <w:tcMar>
              <w:top w:w="70" w:type="dxa"/>
              <w:bottom w:w="70" w:type="dxa"/>
              <w:left w:w="100" w:type="dxa"/>
              <w:right w:w="100" w:type="dxa"/>
            </w:tcMar>
          </w:tcPr>
          <w:p>
            <w:pPr>
              <w:spacing w:after="0"/>
            </w:pPr>
            <w:r>
              <w:rPr>
                <w:rFonts w:ascii="Calibri" w:hAnsi="Calibri"/>
                <w:color w:val="0F172A"/>
                <w:sz w:val="18"/>
              </w:rPr>
              <w:t>registrations</w:t>
            </w:r>
          </w:p>
        </w:tc>
        <w:tc>
          <w:tcPr>
            <w:tcW w:type="dxa" w:w="1296"/>
            <w:shd w:fill="FFFFFF"/>
            <w:tcMar>
              <w:top w:w="70" w:type="dxa"/>
              <w:bottom w:w="70" w:type="dxa"/>
              <w:left w:w="100" w:type="dxa"/>
              <w:right w:w="100" w:type="dxa"/>
            </w:tcMar>
          </w:tcPr>
          <w:p>
            <w:pPr>
              <w:spacing w:after="0"/>
            </w:pPr>
            <w:r>
              <w:rPr>
                <w:rFonts w:ascii="Calibri" w:hAnsi="Calibri"/>
                <w:color w:val="0F172A"/>
                <w:sz w:val="18"/>
              </w:rPr>
              <w:t>id (SERIAL)</w:t>
            </w:r>
          </w:p>
        </w:tc>
        <w:tc>
          <w:tcPr>
            <w:tcW w:type="dxa" w:w="2160"/>
            <w:shd w:fill="FFFFFF"/>
            <w:tcMar>
              <w:top w:w="70" w:type="dxa"/>
              <w:bottom w:w="70" w:type="dxa"/>
              <w:left w:w="100" w:type="dxa"/>
              <w:right w:w="100" w:type="dxa"/>
            </w:tcMar>
          </w:tcPr>
          <w:p>
            <w:pPr>
              <w:spacing w:after="0"/>
            </w:pPr>
            <w:r>
              <w:rPr>
                <w:rFonts w:ascii="Calibri" w:hAnsi="Calibri"/>
                <w:color w:val="0F172A"/>
                <w:sz w:val="18"/>
              </w:rPr>
              <w:t>event_id -&gt; events(id), student_id -&gt; users(id)</w:t>
            </w:r>
          </w:p>
        </w:tc>
        <w:tc>
          <w:tcPr>
            <w:tcW w:type="dxa" w:w="2592"/>
            <w:shd w:fill="FFFFFF"/>
            <w:tcMar>
              <w:top w:w="70" w:type="dxa"/>
              <w:bottom w:w="70" w:type="dxa"/>
              <w:left w:w="100" w:type="dxa"/>
              <w:right w:w="100" w:type="dxa"/>
            </w:tcMar>
          </w:tcPr>
          <w:p>
            <w:pPr>
              <w:spacing w:after="0"/>
            </w:pPr>
            <w:r>
              <w:rPr>
                <w:rFonts w:ascii="Calibri" w:hAnsi="Calibri"/>
                <w:color w:val="0F172A"/>
                <w:sz w:val="18"/>
              </w:rPr>
              <w:t>Partial Unique Index: (event_id, student_id) WHERE status='CONFIRMED'</w:t>
            </w:r>
          </w:p>
        </w:tc>
        <w:tc>
          <w:tcPr>
            <w:tcW w:type="dxa" w:w="1872"/>
            <w:shd w:fill="FFFFFF"/>
            <w:tcMar>
              <w:top w:w="70" w:type="dxa"/>
              <w:bottom w:w="70" w:type="dxa"/>
              <w:left w:w="100" w:type="dxa"/>
              <w:right w:w="100" w:type="dxa"/>
            </w:tcMar>
          </w:tcPr>
          <w:p>
            <w:pPr>
              <w:spacing w:after="0"/>
            </w:pPr>
            <w:r>
              <w:rPr>
                <w:rFonts w:ascii="Calibri" w:hAnsi="Calibri"/>
                <w:color w:val="0F172A"/>
                <w:sz w:val="18"/>
              </w:rPr>
              <w:t>Prevents duplicate active bookings and enforces atomicity</w:t>
            </w:r>
          </w:p>
        </w:tc>
      </w:tr>
      <w:tr>
        <w:tc>
          <w:tcPr>
            <w:tcW w:type="dxa" w:w="1440"/>
            <w:shd w:fill="F8FAFC"/>
            <w:tcMar>
              <w:top w:w="70" w:type="dxa"/>
              <w:bottom w:w="70" w:type="dxa"/>
              <w:left w:w="100" w:type="dxa"/>
              <w:right w:w="100" w:type="dxa"/>
            </w:tcMar>
          </w:tcPr>
          <w:p>
            <w:pPr>
              <w:spacing w:after="0"/>
            </w:pPr>
            <w:r>
              <w:rPr>
                <w:rFonts w:ascii="Calibri" w:hAnsi="Calibri"/>
                <w:color w:val="0F172A"/>
                <w:sz w:val="18"/>
              </w:rPr>
              <w:t>audit_logs</w:t>
            </w:r>
          </w:p>
        </w:tc>
        <w:tc>
          <w:tcPr>
            <w:tcW w:type="dxa" w:w="1296"/>
            <w:shd w:fill="F8FAFC"/>
            <w:tcMar>
              <w:top w:w="70" w:type="dxa"/>
              <w:bottom w:w="70" w:type="dxa"/>
              <w:left w:w="100" w:type="dxa"/>
              <w:right w:w="100" w:type="dxa"/>
            </w:tcMar>
          </w:tcPr>
          <w:p>
            <w:pPr>
              <w:spacing w:after="0"/>
            </w:pPr>
            <w:r>
              <w:rPr>
                <w:rFonts w:ascii="Calibri" w:hAnsi="Calibri"/>
                <w:color w:val="0F172A"/>
                <w:sz w:val="18"/>
              </w:rPr>
              <w:t>id (SERIAL)</w:t>
            </w:r>
          </w:p>
        </w:tc>
        <w:tc>
          <w:tcPr>
            <w:tcW w:type="dxa" w:w="2160"/>
            <w:shd w:fill="F8FAFC"/>
            <w:tcMar>
              <w:top w:w="70" w:type="dxa"/>
              <w:bottom w:w="70" w:type="dxa"/>
              <w:left w:w="100" w:type="dxa"/>
              <w:right w:w="100" w:type="dxa"/>
            </w:tcMar>
          </w:tcPr>
          <w:p>
            <w:pPr>
              <w:spacing w:after="0"/>
            </w:pPr>
            <w:r>
              <w:rPr>
                <w:rFonts w:ascii="Calibri" w:hAnsi="Calibri"/>
                <w:color w:val="0F172A"/>
                <w:sz w:val="18"/>
              </w:rPr>
              <w:t>actor_id -&gt; users(id) NULL</w:t>
            </w:r>
          </w:p>
        </w:tc>
        <w:tc>
          <w:tcPr>
            <w:tcW w:type="dxa" w:w="2592"/>
            <w:shd w:fill="F8FAFC"/>
            <w:tcMar>
              <w:top w:w="70" w:type="dxa"/>
              <w:bottom w:w="70" w:type="dxa"/>
              <w:left w:w="100" w:type="dxa"/>
              <w:right w:w="100" w:type="dxa"/>
            </w:tcMar>
          </w:tcPr>
          <w:p>
            <w:pPr>
              <w:spacing w:after="0"/>
            </w:pPr>
            <w:r>
              <w:rPr>
                <w:rFonts w:ascii="Calibri" w:hAnsi="Calibri"/>
                <w:color w:val="0F172A"/>
                <w:sz w:val="18"/>
              </w:rPr>
              <w:t>timestamp (INDEXED), result, source_ip</w:t>
            </w:r>
          </w:p>
        </w:tc>
        <w:tc>
          <w:tcPr>
            <w:tcW w:type="dxa" w:w="1872"/>
            <w:shd w:fill="F8FAFC"/>
            <w:tcMar>
              <w:top w:w="70" w:type="dxa"/>
              <w:bottom w:w="70" w:type="dxa"/>
              <w:left w:w="100" w:type="dxa"/>
              <w:right w:w="100" w:type="dxa"/>
            </w:tcMar>
          </w:tcPr>
          <w:p>
            <w:pPr>
              <w:spacing w:after="0"/>
            </w:pPr>
            <w:r>
              <w:rPr>
                <w:rFonts w:ascii="Calibri" w:hAnsi="Calibri"/>
                <w:color w:val="0F172A"/>
                <w:sz w:val="18"/>
              </w:rPr>
              <w:t>Tamper-evident append-only audit trail</w:t>
            </w:r>
          </w:p>
        </w:tc>
      </w:tr>
    </w:tbl>
    <w:p>
      <w:pPr>
        <w:spacing w:after="160"/>
      </w:pPr>
    </w:p>
    <w:p>
      <w:pPr>
        <w:keepNext/>
        <w:spacing w:before="320" w:after="120"/>
      </w:pPr>
      <w:r>
        <w:rPr>
          <w:rFonts w:ascii="Arial" w:hAnsi="Arial"/>
          <w:b/>
          <w:color w:val="1E3A8A"/>
          <w:sz w:val="30"/>
        </w:rPr>
        <w:t>5. Requirements Traceability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1E3A8A"/>
            <w:tcMar>
              <w:top w:w="100" w:type="dxa"/>
              <w:bottom w:w="100" w:type="dxa"/>
              <w:left w:w="120" w:type="dxa"/>
              <w:right w:w="120" w:type="dxa"/>
            </w:tcMar>
          </w:tcPr>
          <w:p>
            <w:pPr>
              <w:spacing w:after="0"/>
            </w:pPr>
            <w:r>
              <w:rPr>
                <w:rFonts w:ascii="Calibri" w:hAnsi="Calibri"/>
                <w:b/>
                <w:color w:val="FFFFFF"/>
                <w:sz w:val="19"/>
              </w:rPr>
              <w:t>Req ID</w:t>
            </w:r>
          </w:p>
        </w:tc>
        <w:tc>
          <w:tcPr>
            <w:tcW w:type="dxa" w:w="1872"/>
            <w:shd w:fill="1E3A8A"/>
            <w:tcMar>
              <w:top w:w="100" w:type="dxa"/>
              <w:bottom w:w="100" w:type="dxa"/>
              <w:left w:w="120" w:type="dxa"/>
              <w:right w:w="120" w:type="dxa"/>
            </w:tcMar>
          </w:tcPr>
          <w:p>
            <w:pPr>
              <w:spacing w:after="0"/>
            </w:pPr>
            <w:r>
              <w:rPr>
                <w:rFonts w:ascii="Calibri" w:hAnsi="Calibri"/>
                <w:b/>
                <w:color w:val="FFFFFF"/>
                <w:sz w:val="19"/>
              </w:rPr>
              <w:t>Description</w:t>
            </w:r>
          </w:p>
        </w:tc>
        <w:tc>
          <w:tcPr>
            <w:tcW w:type="dxa" w:w="1728"/>
            <w:shd w:fill="1E3A8A"/>
            <w:tcMar>
              <w:top w:w="100" w:type="dxa"/>
              <w:bottom w:w="100" w:type="dxa"/>
              <w:left w:w="120" w:type="dxa"/>
              <w:right w:w="120" w:type="dxa"/>
            </w:tcMar>
          </w:tcPr>
          <w:p>
            <w:pPr>
              <w:spacing w:after="0"/>
            </w:pPr>
            <w:r>
              <w:rPr>
                <w:rFonts w:ascii="Calibri" w:hAnsi="Calibri"/>
                <w:b/>
                <w:color w:val="FFFFFF"/>
                <w:sz w:val="19"/>
              </w:rPr>
              <w:t>Component</w:t>
            </w:r>
          </w:p>
        </w:tc>
        <w:tc>
          <w:tcPr>
            <w:tcW w:type="dxa" w:w="2160"/>
            <w:shd w:fill="1E3A8A"/>
            <w:tcMar>
              <w:top w:w="100" w:type="dxa"/>
              <w:bottom w:w="100" w:type="dxa"/>
              <w:left w:w="120" w:type="dxa"/>
              <w:right w:w="120" w:type="dxa"/>
            </w:tcMar>
          </w:tcPr>
          <w:p>
            <w:pPr>
              <w:spacing w:after="0"/>
            </w:pPr>
            <w:r>
              <w:rPr>
                <w:rFonts w:ascii="Calibri" w:hAnsi="Calibri"/>
                <w:b/>
                <w:color w:val="FFFFFF"/>
                <w:sz w:val="19"/>
              </w:rPr>
              <w:t>API Route</w:t>
            </w:r>
          </w:p>
        </w:tc>
        <w:tc>
          <w:tcPr>
            <w:tcW w:type="dxa" w:w="1584"/>
            <w:shd w:fill="1E3A8A"/>
            <w:tcMar>
              <w:top w:w="100" w:type="dxa"/>
              <w:bottom w:w="100" w:type="dxa"/>
              <w:left w:w="120" w:type="dxa"/>
              <w:right w:w="120" w:type="dxa"/>
            </w:tcMar>
          </w:tcPr>
          <w:p>
            <w:pPr>
              <w:spacing w:after="0"/>
            </w:pPr>
            <w:r>
              <w:rPr>
                <w:rFonts w:ascii="Calibri" w:hAnsi="Calibri"/>
                <w:b/>
                <w:color w:val="FFFFFF"/>
                <w:sz w:val="19"/>
              </w:rPr>
              <w:t>Security Invariant</w:t>
            </w:r>
          </w:p>
        </w:tc>
        <w:tc>
          <w:tcPr>
            <w:tcW w:type="dxa" w:w="864"/>
            <w:shd w:fill="1E3A8A"/>
            <w:tcMar>
              <w:top w:w="100" w:type="dxa"/>
              <w:bottom w:w="100" w:type="dxa"/>
              <w:left w:w="120" w:type="dxa"/>
              <w:right w:w="120" w:type="dxa"/>
            </w:tcMar>
          </w:tcPr>
          <w:p>
            <w:pPr>
              <w:spacing w:after="0"/>
            </w:pPr>
            <w:r>
              <w:rPr>
                <w:rFonts w:ascii="Calibri" w:hAnsi="Calibri"/>
                <w:b/>
                <w:color w:val="FFFFFF"/>
                <w:sz w:val="19"/>
              </w:rPr>
              <w:t>Verified By</w:t>
            </w:r>
          </w:p>
        </w:tc>
      </w:tr>
      <w:tr>
        <w:tc>
          <w:tcPr>
            <w:tcW w:type="dxa" w:w="1152"/>
            <w:shd w:fill="FFFFFF"/>
            <w:tcMar>
              <w:top w:w="70" w:type="dxa"/>
              <w:bottom w:w="70" w:type="dxa"/>
              <w:left w:w="100" w:type="dxa"/>
              <w:right w:w="100" w:type="dxa"/>
            </w:tcMar>
          </w:tcPr>
          <w:p>
            <w:pPr>
              <w:spacing w:after="0"/>
            </w:pPr>
            <w:r>
              <w:rPr>
                <w:rFonts w:ascii="Calibri" w:hAnsi="Calibri"/>
                <w:color w:val="0F172A"/>
                <w:sz w:val="18"/>
              </w:rPr>
              <w:t>FR-01</w:t>
            </w:r>
          </w:p>
        </w:tc>
        <w:tc>
          <w:tcPr>
            <w:tcW w:type="dxa" w:w="1872"/>
            <w:shd w:fill="FFFFFF"/>
            <w:tcMar>
              <w:top w:w="70" w:type="dxa"/>
              <w:bottom w:w="70" w:type="dxa"/>
              <w:left w:w="100" w:type="dxa"/>
              <w:right w:w="100" w:type="dxa"/>
            </w:tcMar>
          </w:tcPr>
          <w:p>
            <w:pPr>
              <w:spacing w:after="0"/>
            </w:pPr>
            <w:r>
              <w:rPr>
                <w:rFonts w:ascii="Calibri" w:hAnsi="Calibri"/>
                <w:color w:val="0F172A"/>
                <w:sz w:val="18"/>
              </w:rPr>
              <w:t>Browse Events</w:t>
            </w:r>
          </w:p>
        </w:tc>
        <w:tc>
          <w:tcPr>
            <w:tcW w:type="dxa" w:w="1728"/>
            <w:shd w:fill="FFFFFF"/>
            <w:tcMar>
              <w:top w:w="70" w:type="dxa"/>
              <w:bottom w:w="70" w:type="dxa"/>
              <w:left w:w="100" w:type="dxa"/>
              <w:right w:w="100" w:type="dxa"/>
            </w:tcMar>
          </w:tcPr>
          <w:p>
            <w:pPr>
              <w:spacing w:after="0"/>
            </w:pPr>
            <w:r>
              <w:rPr>
                <w:rFonts w:ascii="Calibri" w:hAnsi="Calibri"/>
                <w:color w:val="0F172A"/>
                <w:sz w:val="18"/>
              </w:rPr>
              <w:t>EventService</w:t>
            </w:r>
          </w:p>
        </w:tc>
        <w:tc>
          <w:tcPr>
            <w:tcW w:type="dxa" w:w="2160"/>
            <w:shd w:fill="FFFFFF"/>
            <w:tcMar>
              <w:top w:w="70" w:type="dxa"/>
              <w:bottom w:w="70" w:type="dxa"/>
              <w:left w:w="100" w:type="dxa"/>
              <w:right w:w="100" w:type="dxa"/>
            </w:tcMar>
          </w:tcPr>
          <w:p>
            <w:pPr>
              <w:spacing w:after="0"/>
            </w:pPr>
            <w:r>
              <w:rPr>
                <w:rFonts w:ascii="Calibri" w:hAnsi="Calibri"/>
                <w:color w:val="0F172A"/>
                <w:sz w:val="18"/>
              </w:rPr>
              <w:t>GET /api/events</w:t>
            </w:r>
          </w:p>
        </w:tc>
        <w:tc>
          <w:tcPr>
            <w:tcW w:type="dxa" w:w="1584"/>
            <w:shd w:fill="FFFFFF"/>
            <w:tcMar>
              <w:top w:w="70" w:type="dxa"/>
              <w:bottom w:w="70" w:type="dxa"/>
              <w:left w:w="100" w:type="dxa"/>
              <w:right w:w="100" w:type="dxa"/>
            </w:tcMar>
          </w:tcPr>
          <w:p>
            <w:pPr>
              <w:spacing w:after="0"/>
            </w:pPr>
            <w:r>
              <w:rPr>
                <w:rFonts w:ascii="Calibri" w:hAnsi="Calibri"/>
                <w:color w:val="0F172A"/>
                <w:sz w:val="18"/>
              </w:rPr>
              <w:t>Sanitized ORM Query</w:t>
            </w:r>
          </w:p>
        </w:tc>
        <w:tc>
          <w:tcPr>
            <w:tcW w:type="dxa" w:w="864"/>
            <w:shd w:fill="FFFFFF"/>
            <w:tcMar>
              <w:top w:w="70" w:type="dxa"/>
              <w:bottom w:w="70" w:type="dxa"/>
              <w:left w:w="100" w:type="dxa"/>
              <w:right w:w="100" w:type="dxa"/>
            </w:tcMar>
          </w:tcPr>
          <w:p>
            <w:pPr>
              <w:spacing w:after="0"/>
            </w:pPr>
            <w:r>
              <w:rPr>
                <w:rFonts w:ascii="Calibri" w:hAnsi="Calibri"/>
                <w:color w:val="0F172A"/>
                <w:sz w:val="18"/>
              </w:rPr>
              <w:t>TC-18</w:t>
            </w:r>
          </w:p>
        </w:tc>
      </w:tr>
      <w:tr>
        <w:tc>
          <w:tcPr>
            <w:tcW w:type="dxa" w:w="1152"/>
            <w:shd w:fill="F8FAFC"/>
            <w:tcMar>
              <w:top w:w="70" w:type="dxa"/>
              <w:bottom w:w="70" w:type="dxa"/>
              <w:left w:w="100" w:type="dxa"/>
              <w:right w:w="100" w:type="dxa"/>
            </w:tcMar>
          </w:tcPr>
          <w:p>
            <w:pPr>
              <w:spacing w:after="0"/>
            </w:pPr>
            <w:r>
              <w:rPr>
                <w:rFonts w:ascii="Calibri" w:hAnsi="Calibri"/>
                <w:color w:val="0F172A"/>
                <w:sz w:val="18"/>
              </w:rPr>
              <w:t>FR-02</w:t>
            </w:r>
          </w:p>
        </w:tc>
        <w:tc>
          <w:tcPr>
            <w:tcW w:type="dxa" w:w="1872"/>
            <w:shd w:fill="F8FAFC"/>
            <w:tcMar>
              <w:top w:w="70" w:type="dxa"/>
              <w:bottom w:w="70" w:type="dxa"/>
              <w:left w:w="100" w:type="dxa"/>
              <w:right w:w="100" w:type="dxa"/>
            </w:tcMar>
          </w:tcPr>
          <w:p>
            <w:pPr>
              <w:spacing w:after="0"/>
            </w:pPr>
            <w:r>
              <w:rPr>
                <w:rFonts w:ascii="Calibri" w:hAnsi="Calibri"/>
                <w:color w:val="0F172A"/>
                <w:sz w:val="18"/>
              </w:rPr>
              <w:t>Event Details</w:t>
            </w:r>
          </w:p>
        </w:tc>
        <w:tc>
          <w:tcPr>
            <w:tcW w:type="dxa" w:w="1728"/>
            <w:shd w:fill="F8FAFC"/>
            <w:tcMar>
              <w:top w:w="70" w:type="dxa"/>
              <w:bottom w:w="70" w:type="dxa"/>
              <w:left w:w="100" w:type="dxa"/>
              <w:right w:w="100" w:type="dxa"/>
            </w:tcMar>
          </w:tcPr>
          <w:p>
            <w:pPr>
              <w:spacing w:after="0"/>
            </w:pPr>
            <w:r>
              <w:rPr>
                <w:rFonts w:ascii="Calibri" w:hAnsi="Calibri"/>
                <w:color w:val="0F172A"/>
                <w:sz w:val="18"/>
              </w:rPr>
              <w:t>EventService</w:t>
            </w:r>
          </w:p>
        </w:tc>
        <w:tc>
          <w:tcPr>
            <w:tcW w:type="dxa" w:w="2160"/>
            <w:shd w:fill="F8FAFC"/>
            <w:tcMar>
              <w:top w:w="70" w:type="dxa"/>
              <w:bottom w:w="70" w:type="dxa"/>
              <w:left w:w="100" w:type="dxa"/>
              <w:right w:w="100" w:type="dxa"/>
            </w:tcMar>
          </w:tcPr>
          <w:p>
            <w:pPr>
              <w:spacing w:after="0"/>
            </w:pPr>
            <w:r>
              <w:rPr>
                <w:rFonts w:ascii="Calibri" w:hAnsi="Calibri"/>
                <w:color w:val="0F172A"/>
                <w:sz w:val="18"/>
              </w:rPr>
              <w:t>GET /api/events/{id}</w:t>
            </w:r>
          </w:p>
        </w:tc>
        <w:tc>
          <w:tcPr>
            <w:tcW w:type="dxa" w:w="1584"/>
            <w:shd w:fill="F8FAFC"/>
            <w:tcMar>
              <w:top w:w="70" w:type="dxa"/>
              <w:bottom w:w="70" w:type="dxa"/>
              <w:left w:w="100" w:type="dxa"/>
              <w:right w:w="100" w:type="dxa"/>
            </w:tcMar>
          </w:tcPr>
          <w:p>
            <w:pPr>
              <w:spacing w:after="0"/>
            </w:pPr>
            <w:r>
              <w:rPr>
                <w:rFonts w:ascii="Calibri" w:hAnsi="Calibri"/>
                <w:color w:val="0F172A"/>
                <w:sz w:val="18"/>
              </w:rPr>
              <w:t>Safe Error Handling</w:t>
            </w:r>
          </w:p>
        </w:tc>
        <w:tc>
          <w:tcPr>
            <w:tcW w:type="dxa" w:w="864"/>
            <w:shd w:fill="F8FAFC"/>
            <w:tcMar>
              <w:top w:w="70" w:type="dxa"/>
              <w:bottom w:w="70" w:type="dxa"/>
              <w:left w:w="100" w:type="dxa"/>
              <w:right w:w="100" w:type="dxa"/>
            </w:tcMar>
          </w:tcPr>
          <w:p>
            <w:pPr>
              <w:spacing w:after="0"/>
            </w:pPr>
            <w:r>
              <w:rPr>
                <w:rFonts w:ascii="Calibri" w:hAnsi="Calibri"/>
                <w:color w:val="0F172A"/>
                <w:sz w:val="18"/>
              </w:rPr>
              <w:t>TC-11</w:t>
            </w:r>
          </w:p>
        </w:tc>
      </w:tr>
      <w:tr>
        <w:tc>
          <w:tcPr>
            <w:tcW w:type="dxa" w:w="1152"/>
            <w:shd w:fill="FFFFFF"/>
            <w:tcMar>
              <w:top w:w="70" w:type="dxa"/>
              <w:bottom w:w="70" w:type="dxa"/>
              <w:left w:w="100" w:type="dxa"/>
              <w:right w:w="100" w:type="dxa"/>
            </w:tcMar>
          </w:tcPr>
          <w:p>
            <w:pPr>
              <w:spacing w:after="0"/>
            </w:pPr>
            <w:r>
              <w:rPr>
                <w:rFonts w:ascii="Calibri" w:hAnsi="Calibri"/>
                <w:color w:val="0F172A"/>
                <w:sz w:val="18"/>
              </w:rPr>
              <w:t>FR-03</w:t>
            </w:r>
          </w:p>
        </w:tc>
        <w:tc>
          <w:tcPr>
            <w:tcW w:type="dxa" w:w="1872"/>
            <w:shd w:fill="FFFFFF"/>
            <w:tcMar>
              <w:top w:w="70" w:type="dxa"/>
              <w:bottom w:w="70" w:type="dxa"/>
              <w:left w:w="100" w:type="dxa"/>
              <w:right w:w="100" w:type="dxa"/>
            </w:tcMar>
          </w:tcPr>
          <w:p>
            <w:pPr>
              <w:spacing w:after="0"/>
            </w:pPr>
            <w:r>
              <w:rPr>
                <w:rFonts w:ascii="Calibri" w:hAnsi="Calibri"/>
                <w:color w:val="0F172A"/>
                <w:sz w:val="18"/>
              </w:rPr>
              <w:t>Register Event</w:t>
            </w:r>
          </w:p>
        </w:tc>
        <w:tc>
          <w:tcPr>
            <w:tcW w:type="dxa" w:w="1728"/>
            <w:shd w:fill="FFFFFF"/>
            <w:tcMar>
              <w:top w:w="70" w:type="dxa"/>
              <w:bottom w:w="70" w:type="dxa"/>
              <w:left w:w="100" w:type="dxa"/>
              <w:right w:w="100" w:type="dxa"/>
            </w:tcMar>
          </w:tcPr>
          <w:p>
            <w:pPr>
              <w:spacing w:after="0"/>
            </w:pPr>
            <w:r>
              <w:rPr>
                <w:rFonts w:ascii="Calibri" w:hAnsi="Calibri"/>
                <w:color w:val="0F172A"/>
                <w:sz w:val="18"/>
              </w:rPr>
              <w:t>RegistrationService</w:t>
            </w:r>
          </w:p>
        </w:tc>
        <w:tc>
          <w:tcPr>
            <w:tcW w:type="dxa" w:w="2160"/>
            <w:shd w:fill="FFFFFF"/>
            <w:tcMar>
              <w:top w:w="70" w:type="dxa"/>
              <w:bottom w:w="70" w:type="dxa"/>
              <w:left w:w="100" w:type="dxa"/>
              <w:right w:w="100" w:type="dxa"/>
            </w:tcMar>
          </w:tcPr>
          <w:p>
            <w:pPr>
              <w:spacing w:after="0"/>
            </w:pPr>
            <w:r>
              <w:rPr>
                <w:rFonts w:ascii="Calibri" w:hAnsi="Calibri"/>
                <w:color w:val="0F172A"/>
                <w:sz w:val="18"/>
              </w:rPr>
              <w:t>POST /api/events/{id}/register</w:t>
            </w:r>
          </w:p>
        </w:tc>
        <w:tc>
          <w:tcPr>
            <w:tcW w:type="dxa" w:w="1584"/>
            <w:shd w:fill="FFFFFF"/>
            <w:tcMar>
              <w:top w:w="70" w:type="dxa"/>
              <w:bottom w:w="70" w:type="dxa"/>
              <w:left w:w="100" w:type="dxa"/>
              <w:right w:w="100" w:type="dxa"/>
            </w:tcMar>
          </w:tcPr>
          <w:p>
            <w:pPr>
              <w:spacing w:after="0"/>
            </w:pPr>
            <w:r>
              <w:rPr>
                <w:rFonts w:ascii="Calibri" w:hAnsi="Calibri"/>
                <w:color w:val="0F172A"/>
                <w:sz w:val="18"/>
              </w:rPr>
              <w:t>Atomic Row Lock + Quota</w:t>
            </w:r>
          </w:p>
        </w:tc>
        <w:tc>
          <w:tcPr>
            <w:tcW w:type="dxa" w:w="864"/>
            <w:shd w:fill="FFFFFF"/>
            <w:tcMar>
              <w:top w:w="70" w:type="dxa"/>
              <w:bottom w:w="70" w:type="dxa"/>
              <w:left w:w="100" w:type="dxa"/>
              <w:right w:w="100" w:type="dxa"/>
            </w:tcMar>
          </w:tcPr>
          <w:p>
            <w:pPr>
              <w:spacing w:after="0"/>
            </w:pPr>
            <w:r>
              <w:rPr>
                <w:rFonts w:ascii="Calibri" w:hAnsi="Calibri"/>
                <w:color w:val="0F172A"/>
                <w:sz w:val="18"/>
              </w:rPr>
              <w:t>TC-08, TC-12, TC-16</w:t>
            </w:r>
          </w:p>
        </w:tc>
      </w:tr>
      <w:tr>
        <w:tc>
          <w:tcPr>
            <w:tcW w:type="dxa" w:w="1152"/>
            <w:shd w:fill="F8FAFC"/>
            <w:tcMar>
              <w:top w:w="70" w:type="dxa"/>
              <w:bottom w:w="70" w:type="dxa"/>
              <w:left w:w="100" w:type="dxa"/>
              <w:right w:w="100" w:type="dxa"/>
            </w:tcMar>
          </w:tcPr>
          <w:p>
            <w:pPr>
              <w:spacing w:after="0"/>
            </w:pPr>
            <w:r>
              <w:rPr>
                <w:rFonts w:ascii="Calibri" w:hAnsi="Calibri"/>
                <w:color w:val="0F172A"/>
                <w:sz w:val="18"/>
              </w:rPr>
              <w:t>FR-04</w:t>
            </w:r>
          </w:p>
        </w:tc>
        <w:tc>
          <w:tcPr>
            <w:tcW w:type="dxa" w:w="1872"/>
            <w:shd w:fill="F8FAFC"/>
            <w:tcMar>
              <w:top w:w="70" w:type="dxa"/>
              <w:bottom w:w="70" w:type="dxa"/>
              <w:left w:w="100" w:type="dxa"/>
              <w:right w:w="100" w:type="dxa"/>
            </w:tcMar>
          </w:tcPr>
          <w:p>
            <w:pPr>
              <w:spacing w:after="0"/>
            </w:pPr>
            <w:r>
              <w:rPr>
                <w:rFonts w:ascii="Calibri" w:hAnsi="Calibri"/>
                <w:color w:val="0F172A"/>
                <w:sz w:val="18"/>
              </w:rPr>
              <w:t>Cancel Registration</w:t>
            </w:r>
          </w:p>
        </w:tc>
        <w:tc>
          <w:tcPr>
            <w:tcW w:type="dxa" w:w="1728"/>
            <w:shd w:fill="F8FAFC"/>
            <w:tcMar>
              <w:top w:w="70" w:type="dxa"/>
              <w:bottom w:w="70" w:type="dxa"/>
              <w:left w:w="100" w:type="dxa"/>
              <w:right w:w="100" w:type="dxa"/>
            </w:tcMar>
          </w:tcPr>
          <w:p>
            <w:pPr>
              <w:spacing w:after="0"/>
            </w:pPr>
            <w:r>
              <w:rPr>
                <w:rFonts w:ascii="Calibri" w:hAnsi="Calibri"/>
                <w:color w:val="0F172A"/>
                <w:sz w:val="18"/>
              </w:rPr>
              <w:t>RegistrationService</w:t>
            </w:r>
          </w:p>
        </w:tc>
        <w:tc>
          <w:tcPr>
            <w:tcW w:type="dxa" w:w="2160"/>
            <w:shd w:fill="F8FAFC"/>
            <w:tcMar>
              <w:top w:w="70" w:type="dxa"/>
              <w:bottom w:w="70" w:type="dxa"/>
              <w:left w:w="100" w:type="dxa"/>
              <w:right w:w="100" w:type="dxa"/>
            </w:tcMar>
          </w:tcPr>
          <w:p>
            <w:pPr>
              <w:spacing w:after="0"/>
            </w:pPr>
            <w:r>
              <w:rPr>
                <w:rFonts w:ascii="Calibri" w:hAnsi="Calibri"/>
                <w:color w:val="0F172A"/>
                <w:sz w:val="18"/>
              </w:rPr>
              <w:t>DELETE /api/registrations/{id}</w:t>
            </w:r>
          </w:p>
        </w:tc>
        <w:tc>
          <w:tcPr>
            <w:tcW w:type="dxa" w:w="1584"/>
            <w:shd w:fill="F8FAFC"/>
            <w:tcMar>
              <w:top w:w="70" w:type="dxa"/>
              <w:bottom w:w="70" w:type="dxa"/>
              <w:left w:w="100" w:type="dxa"/>
              <w:right w:w="100" w:type="dxa"/>
            </w:tcMar>
          </w:tcPr>
          <w:p>
            <w:pPr>
              <w:spacing w:after="0"/>
            </w:pPr>
            <w:r>
              <w:rPr>
                <w:rFonts w:ascii="Calibri" w:hAnsi="Calibri"/>
                <w:color w:val="0F172A"/>
                <w:sz w:val="18"/>
              </w:rPr>
              <w:t>Object-Level IDOR Guard</w:t>
            </w:r>
          </w:p>
        </w:tc>
        <w:tc>
          <w:tcPr>
            <w:tcW w:type="dxa" w:w="864"/>
            <w:shd w:fill="F8FAFC"/>
            <w:tcMar>
              <w:top w:w="70" w:type="dxa"/>
              <w:bottom w:w="70" w:type="dxa"/>
              <w:left w:w="100" w:type="dxa"/>
              <w:right w:w="100" w:type="dxa"/>
            </w:tcMar>
          </w:tcPr>
          <w:p>
            <w:pPr>
              <w:spacing w:after="0"/>
            </w:pPr>
            <w:r>
              <w:rPr>
                <w:rFonts w:ascii="Calibri" w:hAnsi="Calibri"/>
                <w:color w:val="0F172A"/>
                <w:sz w:val="18"/>
              </w:rPr>
              <w:t>TC-02</w:t>
            </w:r>
          </w:p>
        </w:tc>
      </w:tr>
      <w:tr>
        <w:tc>
          <w:tcPr>
            <w:tcW w:type="dxa" w:w="1152"/>
            <w:shd w:fill="FFFFFF"/>
            <w:tcMar>
              <w:top w:w="70" w:type="dxa"/>
              <w:bottom w:w="70" w:type="dxa"/>
              <w:left w:w="100" w:type="dxa"/>
              <w:right w:w="100" w:type="dxa"/>
            </w:tcMar>
          </w:tcPr>
          <w:p>
            <w:pPr>
              <w:spacing w:after="0"/>
            </w:pPr>
            <w:r>
              <w:rPr>
                <w:rFonts w:ascii="Calibri" w:hAnsi="Calibri"/>
                <w:color w:val="0F172A"/>
                <w:sz w:val="18"/>
              </w:rPr>
              <w:t>FR-05</w:t>
            </w:r>
          </w:p>
        </w:tc>
        <w:tc>
          <w:tcPr>
            <w:tcW w:type="dxa" w:w="1872"/>
            <w:shd w:fill="FFFFFF"/>
            <w:tcMar>
              <w:top w:w="70" w:type="dxa"/>
              <w:bottom w:w="70" w:type="dxa"/>
              <w:left w:w="100" w:type="dxa"/>
              <w:right w:w="100" w:type="dxa"/>
            </w:tcMar>
          </w:tcPr>
          <w:p>
            <w:pPr>
              <w:spacing w:after="0"/>
            </w:pPr>
            <w:r>
              <w:rPr>
                <w:rFonts w:ascii="Calibri" w:hAnsi="Calibri"/>
                <w:color w:val="0F172A"/>
                <w:sz w:val="18"/>
              </w:rPr>
              <w:t>My Registrations</w:t>
            </w:r>
          </w:p>
        </w:tc>
        <w:tc>
          <w:tcPr>
            <w:tcW w:type="dxa" w:w="1728"/>
            <w:shd w:fill="FFFFFF"/>
            <w:tcMar>
              <w:top w:w="70" w:type="dxa"/>
              <w:bottom w:w="70" w:type="dxa"/>
              <w:left w:w="100" w:type="dxa"/>
              <w:right w:w="100" w:type="dxa"/>
            </w:tcMar>
          </w:tcPr>
          <w:p>
            <w:pPr>
              <w:spacing w:after="0"/>
            </w:pPr>
            <w:r>
              <w:rPr>
                <w:rFonts w:ascii="Calibri" w:hAnsi="Calibri"/>
                <w:color w:val="0F172A"/>
                <w:sz w:val="18"/>
              </w:rPr>
              <w:t>RegistrationService</w:t>
            </w:r>
          </w:p>
        </w:tc>
        <w:tc>
          <w:tcPr>
            <w:tcW w:type="dxa" w:w="2160"/>
            <w:shd w:fill="FFFFFF"/>
            <w:tcMar>
              <w:top w:w="70" w:type="dxa"/>
              <w:bottom w:w="70" w:type="dxa"/>
              <w:left w:w="100" w:type="dxa"/>
              <w:right w:w="100" w:type="dxa"/>
            </w:tcMar>
          </w:tcPr>
          <w:p>
            <w:pPr>
              <w:spacing w:after="0"/>
            </w:pPr>
            <w:r>
              <w:rPr>
                <w:rFonts w:ascii="Calibri" w:hAnsi="Calibri"/>
                <w:color w:val="0F172A"/>
                <w:sz w:val="18"/>
              </w:rPr>
              <w:t>GET /api/registrations/me</w:t>
            </w:r>
          </w:p>
        </w:tc>
        <w:tc>
          <w:tcPr>
            <w:tcW w:type="dxa" w:w="1584"/>
            <w:shd w:fill="FFFFFF"/>
            <w:tcMar>
              <w:top w:w="70" w:type="dxa"/>
              <w:bottom w:w="70" w:type="dxa"/>
              <w:left w:w="100" w:type="dxa"/>
              <w:right w:w="100" w:type="dxa"/>
            </w:tcMar>
          </w:tcPr>
          <w:p>
            <w:pPr>
              <w:spacing w:after="0"/>
            </w:pPr>
            <w:r>
              <w:rPr>
                <w:rFonts w:ascii="Calibri" w:hAnsi="Calibri"/>
                <w:color w:val="0F172A"/>
                <w:sz w:val="18"/>
              </w:rPr>
              <w:t>Student Identity Isolation</w:t>
            </w:r>
          </w:p>
        </w:tc>
        <w:tc>
          <w:tcPr>
            <w:tcW w:type="dxa" w:w="864"/>
            <w:shd w:fill="FFFFFF"/>
            <w:tcMar>
              <w:top w:w="70" w:type="dxa"/>
              <w:bottom w:w="70" w:type="dxa"/>
              <w:left w:w="100" w:type="dxa"/>
              <w:right w:w="100" w:type="dxa"/>
            </w:tcMar>
          </w:tcPr>
          <w:p>
            <w:pPr>
              <w:spacing w:after="0"/>
            </w:pPr>
            <w:r>
              <w:rPr>
                <w:rFonts w:ascii="Calibri" w:hAnsi="Calibri"/>
                <w:color w:val="0F172A"/>
                <w:sz w:val="18"/>
              </w:rPr>
              <w:t>TC-01</w:t>
            </w:r>
          </w:p>
        </w:tc>
      </w:tr>
      <w:tr>
        <w:tc>
          <w:tcPr>
            <w:tcW w:type="dxa" w:w="1152"/>
            <w:shd w:fill="F8FAFC"/>
            <w:tcMar>
              <w:top w:w="70" w:type="dxa"/>
              <w:bottom w:w="70" w:type="dxa"/>
              <w:left w:w="100" w:type="dxa"/>
              <w:right w:w="100" w:type="dxa"/>
            </w:tcMar>
          </w:tcPr>
          <w:p>
            <w:pPr>
              <w:spacing w:after="0"/>
            </w:pPr>
            <w:r>
              <w:rPr>
                <w:rFonts w:ascii="Calibri" w:hAnsi="Calibri"/>
                <w:color w:val="0F172A"/>
                <w:sz w:val="18"/>
              </w:rPr>
              <w:t>FR-06</w:t>
            </w:r>
          </w:p>
        </w:tc>
        <w:tc>
          <w:tcPr>
            <w:tcW w:type="dxa" w:w="1872"/>
            <w:shd w:fill="F8FAFC"/>
            <w:tcMar>
              <w:top w:w="70" w:type="dxa"/>
              <w:bottom w:w="70" w:type="dxa"/>
              <w:left w:w="100" w:type="dxa"/>
              <w:right w:w="100" w:type="dxa"/>
            </w:tcMar>
          </w:tcPr>
          <w:p>
            <w:pPr>
              <w:spacing w:after="0"/>
            </w:pPr>
            <w:r>
              <w:rPr>
                <w:rFonts w:ascii="Calibri" w:hAnsi="Calibri"/>
                <w:color w:val="0F172A"/>
                <w:sz w:val="18"/>
              </w:rPr>
              <w:t>Create Event</w:t>
            </w:r>
          </w:p>
        </w:tc>
        <w:tc>
          <w:tcPr>
            <w:tcW w:type="dxa" w:w="1728"/>
            <w:shd w:fill="F8FAFC"/>
            <w:tcMar>
              <w:top w:w="70" w:type="dxa"/>
              <w:bottom w:w="70" w:type="dxa"/>
              <w:left w:w="100" w:type="dxa"/>
              <w:right w:w="100" w:type="dxa"/>
            </w:tcMar>
          </w:tcPr>
          <w:p>
            <w:pPr>
              <w:spacing w:after="0"/>
            </w:pPr>
            <w:r>
              <w:rPr>
                <w:rFonts w:ascii="Calibri" w:hAnsi="Calibri"/>
                <w:color w:val="0F172A"/>
                <w:sz w:val="18"/>
              </w:rPr>
              <w:t>EventService</w:t>
            </w:r>
          </w:p>
        </w:tc>
        <w:tc>
          <w:tcPr>
            <w:tcW w:type="dxa" w:w="2160"/>
            <w:shd w:fill="F8FAFC"/>
            <w:tcMar>
              <w:top w:w="70" w:type="dxa"/>
              <w:bottom w:w="70" w:type="dxa"/>
              <w:left w:w="100" w:type="dxa"/>
              <w:right w:w="100" w:type="dxa"/>
            </w:tcMar>
          </w:tcPr>
          <w:p>
            <w:pPr>
              <w:spacing w:after="0"/>
            </w:pPr>
            <w:r>
              <w:rPr>
                <w:rFonts w:ascii="Calibri" w:hAnsi="Calibri"/>
                <w:color w:val="0F172A"/>
                <w:sz w:val="18"/>
              </w:rPr>
              <w:t>POST /api/events</w:t>
            </w:r>
          </w:p>
        </w:tc>
        <w:tc>
          <w:tcPr>
            <w:tcW w:type="dxa" w:w="1584"/>
            <w:shd w:fill="F8FAFC"/>
            <w:tcMar>
              <w:top w:w="70" w:type="dxa"/>
              <w:bottom w:w="70" w:type="dxa"/>
              <w:left w:w="100" w:type="dxa"/>
              <w:right w:w="100" w:type="dxa"/>
            </w:tcMar>
          </w:tcPr>
          <w:p>
            <w:pPr>
              <w:spacing w:after="0"/>
            </w:pPr>
            <w:r>
              <w:rPr>
                <w:rFonts w:ascii="Calibri" w:hAnsi="Calibri"/>
                <w:color w:val="0F172A"/>
                <w:sz w:val="18"/>
              </w:rPr>
              <w:t>RBAC Role Guard</w:t>
            </w:r>
          </w:p>
        </w:tc>
        <w:tc>
          <w:tcPr>
            <w:tcW w:type="dxa" w:w="864"/>
            <w:shd w:fill="F8FAFC"/>
            <w:tcMar>
              <w:top w:w="70" w:type="dxa"/>
              <w:bottom w:w="70" w:type="dxa"/>
              <w:left w:w="100" w:type="dxa"/>
              <w:right w:w="100" w:type="dxa"/>
            </w:tcMar>
          </w:tcPr>
          <w:p>
            <w:pPr>
              <w:spacing w:after="0"/>
            </w:pPr>
            <w:r>
              <w:rPr>
                <w:rFonts w:ascii="Calibri" w:hAnsi="Calibri"/>
                <w:color w:val="0F172A"/>
                <w:sz w:val="18"/>
              </w:rPr>
              <w:t>TC-03, TC-13</w:t>
            </w:r>
          </w:p>
        </w:tc>
      </w:tr>
      <w:tr>
        <w:tc>
          <w:tcPr>
            <w:tcW w:type="dxa" w:w="1152"/>
            <w:shd w:fill="FFFFFF"/>
            <w:tcMar>
              <w:top w:w="70" w:type="dxa"/>
              <w:bottom w:w="70" w:type="dxa"/>
              <w:left w:w="100" w:type="dxa"/>
              <w:right w:w="100" w:type="dxa"/>
            </w:tcMar>
          </w:tcPr>
          <w:p>
            <w:pPr>
              <w:spacing w:after="0"/>
            </w:pPr>
            <w:r>
              <w:rPr>
                <w:rFonts w:ascii="Calibri" w:hAnsi="Calibri"/>
                <w:color w:val="0F172A"/>
                <w:sz w:val="18"/>
              </w:rPr>
              <w:t>FR-07</w:t>
            </w:r>
          </w:p>
        </w:tc>
        <w:tc>
          <w:tcPr>
            <w:tcW w:type="dxa" w:w="1872"/>
            <w:shd w:fill="FFFFFF"/>
            <w:tcMar>
              <w:top w:w="70" w:type="dxa"/>
              <w:bottom w:w="70" w:type="dxa"/>
              <w:left w:w="100" w:type="dxa"/>
              <w:right w:w="100" w:type="dxa"/>
            </w:tcMar>
          </w:tcPr>
          <w:p>
            <w:pPr>
              <w:spacing w:after="0"/>
            </w:pPr>
            <w:r>
              <w:rPr>
                <w:rFonts w:ascii="Calibri" w:hAnsi="Calibri"/>
                <w:color w:val="0F172A"/>
                <w:sz w:val="18"/>
              </w:rPr>
              <w:t>Participant Limit</w:t>
            </w:r>
          </w:p>
        </w:tc>
        <w:tc>
          <w:tcPr>
            <w:tcW w:type="dxa" w:w="1728"/>
            <w:shd w:fill="FFFFFF"/>
            <w:tcMar>
              <w:top w:w="70" w:type="dxa"/>
              <w:bottom w:w="70" w:type="dxa"/>
              <w:left w:w="100" w:type="dxa"/>
              <w:right w:w="100" w:type="dxa"/>
            </w:tcMar>
          </w:tcPr>
          <w:p>
            <w:pPr>
              <w:spacing w:after="0"/>
            </w:pPr>
            <w:r>
              <w:rPr>
                <w:rFonts w:ascii="Calibri" w:hAnsi="Calibri"/>
                <w:color w:val="0F172A"/>
                <w:sz w:val="18"/>
              </w:rPr>
              <w:t>EventService</w:t>
            </w:r>
          </w:p>
        </w:tc>
        <w:tc>
          <w:tcPr>
            <w:tcW w:type="dxa" w:w="2160"/>
            <w:shd w:fill="FFFFFF"/>
            <w:tcMar>
              <w:top w:w="70" w:type="dxa"/>
              <w:bottom w:w="70" w:type="dxa"/>
              <w:left w:w="100" w:type="dxa"/>
              <w:right w:w="100" w:type="dxa"/>
            </w:tcMar>
          </w:tcPr>
          <w:p>
            <w:pPr>
              <w:spacing w:after="0"/>
            </w:pPr>
            <w:r>
              <w:rPr>
                <w:rFonts w:ascii="Calibri" w:hAnsi="Calibri"/>
                <w:color w:val="0F172A"/>
                <w:sz w:val="18"/>
              </w:rPr>
              <w:t>events.participant_limit</w:t>
            </w:r>
          </w:p>
        </w:tc>
        <w:tc>
          <w:tcPr>
            <w:tcW w:type="dxa" w:w="1584"/>
            <w:shd w:fill="FFFFFF"/>
            <w:tcMar>
              <w:top w:w="70" w:type="dxa"/>
              <w:bottom w:w="70" w:type="dxa"/>
              <w:left w:w="100" w:type="dxa"/>
              <w:right w:w="100" w:type="dxa"/>
            </w:tcMar>
          </w:tcPr>
          <w:p>
            <w:pPr>
              <w:spacing w:after="0"/>
            </w:pPr>
            <w:r>
              <w:rPr>
                <w:rFonts w:ascii="Calibri" w:hAnsi="Calibri"/>
                <w:color w:val="0F172A"/>
                <w:sz w:val="18"/>
              </w:rPr>
              <w:t>Pydantic Integer Bounds</w:t>
            </w:r>
          </w:p>
        </w:tc>
        <w:tc>
          <w:tcPr>
            <w:tcW w:type="dxa" w:w="864"/>
            <w:shd w:fill="FFFFFF"/>
            <w:tcMar>
              <w:top w:w="70" w:type="dxa"/>
              <w:bottom w:w="70" w:type="dxa"/>
              <w:left w:w="100" w:type="dxa"/>
              <w:right w:w="100" w:type="dxa"/>
            </w:tcMar>
          </w:tcPr>
          <w:p>
            <w:pPr>
              <w:spacing w:after="0"/>
            </w:pPr>
            <w:r>
              <w:rPr>
                <w:rFonts w:ascii="Calibri" w:hAnsi="Calibri"/>
                <w:color w:val="0F172A"/>
                <w:sz w:val="18"/>
              </w:rPr>
              <w:t>TC-09, TC-13</w:t>
            </w:r>
          </w:p>
        </w:tc>
      </w:tr>
      <w:tr>
        <w:tc>
          <w:tcPr>
            <w:tcW w:type="dxa" w:w="1152"/>
            <w:shd w:fill="F8FAFC"/>
            <w:tcMar>
              <w:top w:w="70" w:type="dxa"/>
              <w:bottom w:w="70" w:type="dxa"/>
              <w:left w:w="100" w:type="dxa"/>
              <w:right w:w="100" w:type="dxa"/>
            </w:tcMar>
          </w:tcPr>
          <w:p>
            <w:pPr>
              <w:spacing w:after="0"/>
            </w:pPr>
            <w:r>
              <w:rPr>
                <w:rFonts w:ascii="Calibri" w:hAnsi="Calibri"/>
                <w:color w:val="0F172A"/>
                <w:sz w:val="18"/>
              </w:rPr>
              <w:t>FR-08</w:t>
            </w:r>
          </w:p>
        </w:tc>
        <w:tc>
          <w:tcPr>
            <w:tcW w:type="dxa" w:w="1872"/>
            <w:shd w:fill="F8FAFC"/>
            <w:tcMar>
              <w:top w:w="70" w:type="dxa"/>
              <w:bottom w:w="70" w:type="dxa"/>
              <w:left w:w="100" w:type="dxa"/>
              <w:right w:w="100" w:type="dxa"/>
            </w:tcMar>
          </w:tcPr>
          <w:p>
            <w:pPr>
              <w:spacing w:after="0"/>
            </w:pPr>
            <w:r>
              <w:rPr>
                <w:rFonts w:ascii="Calibri" w:hAnsi="Calibri"/>
                <w:color w:val="0F172A"/>
                <w:sz w:val="18"/>
              </w:rPr>
              <w:t>View Participants</w:t>
            </w:r>
          </w:p>
        </w:tc>
        <w:tc>
          <w:tcPr>
            <w:tcW w:type="dxa" w:w="1728"/>
            <w:shd w:fill="F8FAFC"/>
            <w:tcMar>
              <w:top w:w="70" w:type="dxa"/>
              <w:bottom w:w="70" w:type="dxa"/>
              <w:left w:w="100" w:type="dxa"/>
              <w:right w:w="100" w:type="dxa"/>
            </w:tcMar>
          </w:tcPr>
          <w:p>
            <w:pPr>
              <w:spacing w:after="0"/>
            </w:pPr>
            <w:r>
              <w:rPr>
                <w:rFonts w:ascii="Calibri" w:hAnsi="Calibri"/>
                <w:color w:val="0F172A"/>
                <w:sz w:val="18"/>
              </w:rPr>
              <w:t>RegistrationService</w:t>
            </w:r>
          </w:p>
        </w:tc>
        <w:tc>
          <w:tcPr>
            <w:tcW w:type="dxa" w:w="2160"/>
            <w:shd w:fill="F8FAFC"/>
            <w:tcMar>
              <w:top w:w="70" w:type="dxa"/>
              <w:bottom w:w="70" w:type="dxa"/>
              <w:left w:w="100" w:type="dxa"/>
              <w:right w:w="100" w:type="dxa"/>
            </w:tcMar>
          </w:tcPr>
          <w:p>
            <w:pPr>
              <w:spacing w:after="0"/>
            </w:pPr>
            <w:r>
              <w:rPr>
                <w:rFonts w:ascii="Calibri" w:hAnsi="Calibri"/>
                <w:color w:val="0F172A"/>
                <w:sz w:val="18"/>
              </w:rPr>
              <w:t>GET /api/events/{id}/participants</w:t>
            </w:r>
          </w:p>
        </w:tc>
        <w:tc>
          <w:tcPr>
            <w:tcW w:type="dxa" w:w="1584"/>
            <w:shd w:fill="F8FAFC"/>
            <w:tcMar>
              <w:top w:w="70" w:type="dxa"/>
              <w:bottom w:w="70" w:type="dxa"/>
              <w:left w:w="100" w:type="dxa"/>
              <w:right w:w="100" w:type="dxa"/>
            </w:tcMar>
          </w:tcPr>
          <w:p>
            <w:pPr>
              <w:spacing w:after="0"/>
            </w:pPr>
            <w:r>
              <w:rPr>
                <w:rFonts w:ascii="Calibri" w:hAnsi="Calibri"/>
                <w:color w:val="0F172A"/>
                <w:sz w:val="18"/>
              </w:rPr>
              <w:t>Cross-Faculty IDOR Guard</w:t>
            </w:r>
          </w:p>
        </w:tc>
        <w:tc>
          <w:tcPr>
            <w:tcW w:type="dxa" w:w="864"/>
            <w:shd w:fill="F8FAFC"/>
            <w:tcMar>
              <w:top w:w="70" w:type="dxa"/>
              <w:bottom w:w="70" w:type="dxa"/>
              <w:left w:w="100" w:type="dxa"/>
              <w:right w:w="100" w:type="dxa"/>
            </w:tcMar>
          </w:tcPr>
          <w:p>
            <w:pPr>
              <w:spacing w:after="0"/>
            </w:pPr>
            <w:r>
              <w:rPr>
                <w:rFonts w:ascii="Calibri" w:hAnsi="Calibri"/>
                <w:color w:val="0F172A"/>
                <w:sz w:val="18"/>
              </w:rPr>
              <w:t>TC-05</w:t>
            </w:r>
          </w:p>
        </w:tc>
      </w:tr>
      <w:tr>
        <w:tc>
          <w:tcPr>
            <w:tcW w:type="dxa" w:w="1152"/>
            <w:shd w:fill="FFFFFF"/>
            <w:tcMar>
              <w:top w:w="70" w:type="dxa"/>
              <w:bottom w:w="70" w:type="dxa"/>
              <w:left w:w="100" w:type="dxa"/>
              <w:right w:w="100" w:type="dxa"/>
            </w:tcMar>
          </w:tcPr>
          <w:p>
            <w:pPr>
              <w:spacing w:after="0"/>
            </w:pPr>
            <w:r>
              <w:rPr>
                <w:rFonts w:ascii="Calibri" w:hAnsi="Calibri"/>
                <w:color w:val="0F172A"/>
                <w:sz w:val="18"/>
              </w:rPr>
              <w:t>FR-09</w:t>
            </w:r>
          </w:p>
        </w:tc>
        <w:tc>
          <w:tcPr>
            <w:tcW w:type="dxa" w:w="1872"/>
            <w:shd w:fill="FFFFFF"/>
            <w:tcMar>
              <w:top w:w="70" w:type="dxa"/>
              <w:bottom w:w="70" w:type="dxa"/>
              <w:left w:w="100" w:type="dxa"/>
              <w:right w:w="100" w:type="dxa"/>
            </w:tcMar>
          </w:tcPr>
          <w:p>
            <w:pPr>
              <w:spacing w:after="0"/>
            </w:pPr>
            <w:r>
              <w:rPr>
                <w:rFonts w:ascii="Calibri" w:hAnsi="Calibri"/>
                <w:color w:val="0F172A"/>
                <w:sz w:val="18"/>
              </w:rPr>
              <w:t>Close Registration</w:t>
            </w:r>
          </w:p>
        </w:tc>
        <w:tc>
          <w:tcPr>
            <w:tcW w:type="dxa" w:w="1728"/>
            <w:shd w:fill="FFFFFF"/>
            <w:tcMar>
              <w:top w:w="70" w:type="dxa"/>
              <w:bottom w:w="70" w:type="dxa"/>
              <w:left w:w="100" w:type="dxa"/>
              <w:right w:w="100" w:type="dxa"/>
            </w:tcMar>
          </w:tcPr>
          <w:p>
            <w:pPr>
              <w:spacing w:after="0"/>
            </w:pPr>
            <w:r>
              <w:rPr>
                <w:rFonts w:ascii="Calibri" w:hAnsi="Calibri"/>
                <w:color w:val="0F172A"/>
                <w:sz w:val="18"/>
              </w:rPr>
              <w:t>EventService</w:t>
            </w:r>
          </w:p>
        </w:tc>
        <w:tc>
          <w:tcPr>
            <w:tcW w:type="dxa" w:w="2160"/>
            <w:shd w:fill="FFFFFF"/>
            <w:tcMar>
              <w:top w:w="70" w:type="dxa"/>
              <w:bottom w:w="70" w:type="dxa"/>
              <w:left w:w="100" w:type="dxa"/>
              <w:right w:w="100" w:type="dxa"/>
            </w:tcMar>
          </w:tcPr>
          <w:p>
            <w:pPr>
              <w:spacing w:after="0"/>
            </w:pPr>
            <w:r>
              <w:rPr>
                <w:rFonts w:ascii="Calibri" w:hAnsi="Calibri"/>
                <w:color w:val="0F172A"/>
                <w:sz w:val="18"/>
              </w:rPr>
              <w:t>POST /api/events/{id}/close</w:t>
            </w:r>
          </w:p>
        </w:tc>
        <w:tc>
          <w:tcPr>
            <w:tcW w:type="dxa" w:w="1584"/>
            <w:shd w:fill="FFFFFF"/>
            <w:tcMar>
              <w:top w:w="70" w:type="dxa"/>
              <w:bottom w:w="70" w:type="dxa"/>
              <w:left w:w="100" w:type="dxa"/>
              <w:right w:w="100" w:type="dxa"/>
            </w:tcMar>
          </w:tcPr>
          <w:p>
            <w:pPr>
              <w:spacing w:after="0"/>
            </w:pPr>
            <w:r>
              <w:rPr>
                <w:rFonts w:ascii="Calibri" w:hAnsi="Calibri"/>
                <w:color w:val="0F172A"/>
                <w:sz w:val="18"/>
              </w:rPr>
              <w:t>Ownership State Guard</w:t>
            </w:r>
          </w:p>
        </w:tc>
        <w:tc>
          <w:tcPr>
            <w:tcW w:type="dxa" w:w="864"/>
            <w:shd w:fill="FFFFFF"/>
            <w:tcMar>
              <w:top w:w="70" w:type="dxa"/>
              <w:bottom w:w="70" w:type="dxa"/>
              <w:left w:w="100" w:type="dxa"/>
              <w:right w:w="100" w:type="dxa"/>
            </w:tcMar>
          </w:tcPr>
          <w:p>
            <w:pPr>
              <w:spacing w:after="0"/>
            </w:pPr>
            <w:r>
              <w:rPr>
                <w:rFonts w:ascii="Calibri" w:hAnsi="Calibri"/>
                <w:color w:val="0F172A"/>
                <w:sz w:val="18"/>
              </w:rPr>
              <w:t>TC-04, TC-10</w:t>
            </w:r>
          </w:p>
        </w:tc>
      </w:tr>
      <w:tr>
        <w:tc>
          <w:tcPr>
            <w:tcW w:type="dxa" w:w="1152"/>
            <w:shd w:fill="F8FAFC"/>
            <w:tcMar>
              <w:top w:w="70" w:type="dxa"/>
              <w:bottom w:w="70" w:type="dxa"/>
              <w:left w:w="100" w:type="dxa"/>
              <w:right w:w="100" w:type="dxa"/>
            </w:tcMar>
          </w:tcPr>
          <w:p>
            <w:pPr>
              <w:spacing w:after="0"/>
            </w:pPr>
            <w:r>
              <w:rPr>
                <w:rFonts w:ascii="Calibri" w:hAnsi="Calibri"/>
                <w:color w:val="0F172A"/>
                <w:sz w:val="18"/>
              </w:rPr>
              <w:t>FR-10</w:t>
            </w:r>
          </w:p>
        </w:tc>
        <w:tc>
          <w:tcPr>
            <w:tcW w:type="dxa" w:w="1872"/>
            <w:shd w:fill="F8FAFC"/>
            <w:tcMar>
              <w:top w:w="70" w:type="dxa"/>
              <w:bottom w:w="70" w:type="dxa"/>
              <w:left w:w="100" w:type="dxa"/>
              <w:right w:w="100" w:type="dxa"/>
            </w:tcMar>
          </w:tcPr>
          <w:p>
            <w:pPr>
              <w:spacing w:after="0"/>
            </w:pPr>
            <w:r>
              <w:rPr>
                <w:rFonts w:ascii="Calibri" w:hAnsi="Calibri"/>
                <w:color w:val="0F172A"/>
                <w:sz w:val="18"/>
              </w:rPr>
              <w:t>Secure Login</w:t>
            </w:r>
          </w:p>
        </w:tc>
        <w:tc>
          <w:tcPr>
            <w:tcW w:type="dxa" w:w="1728"/>
            <w:shd w:fill="F8FAFC"/>
            <w:tcMar>
              <w:top w:w="70" w:type="dxa"/>
              <w:bottom w:w="70" w:type="dxa"/>
              <w:left w:w="100" w:type="dxa"/>
              <w:right w:w="100" w:type="dxa"/>
            </w:tcMar>
          </w:tcPr>
          <w:p>
            <w:pPr>
              <w:spacing w:after="0"/>
            </w:pPr>
            <w:r>
              <w:rPr>
                <w:rFonts w:ascii="Calibri" w:hAnsi="Calibri"/>
                <w:color w:val="0F172A"/>
                <w:sz w:val="18"/>
              </w:rPr>
              <w:t>AuthService</w:t>
            </w:r>
          </w:p>
        </w:tc>
        <w:tc>
          <w:tcPr>
            <w:tcW w:type="dxa" w:w="2160"/>
            <w:shd w:fill="F8FAFC"/>
            <w:tcMar>
              <w:top w:w="70" w:type="dxa"/>
              <w:bottom w:w="70" w:type="dxa"/>
              <w:left w:w="100" w:type="dxa"/>
              <w:right w:w="100" w:type="dxa"/>
            </w:tcMar>
          </w:tcPr>
          <w:p>
            <w:pPr>
              <w:spacing w:after="0"/>
            </w:pPr>
            <w:r>
              <w:rPr>
                <w:rFonts w:ascii="Calibri" w:hAnsi="Calibri"/>
                <w:color w:val="0F172A"/>
                <w:sz w:val="18"/>
              </w:rPr>
              <w:t>POST /api/auth/login</w:t>
            </w:r>
          </w:p>
        </w:tc>
        <w:tc>
          <w:tcPr>
            <w:tcW w:type="dxa" w:w="1584"/>
            <w:shd w:fill="F8FAFC"/>
            <w:tcMar>
              <w:top w:w="70" w:type="dxa"/>
              <w:bottom w:w="70" w:type="dxa"/>
              <w:left w:w="100" w:type="dxa"/>
              <w:right w:w="100" w:type="dxa"/>
            </w:tcMar>
          </w:tcPr>
          <w:p>
            <w:pPr>
              <w:spacing w:after="0"/>
            </w:pPr>
            <w:r>
              <w:rPr>
                <w:rFonts w:ascii="Calibri" w:hAnsi="Calibri"/>
                <w:color w:val="0F172A"/>
                <w:sz w:val="18"/>
              </w:rPr>
              <w:t>Bcrypt + Sliding Rate Limit</w:t>
            </w:r>
          </w:p>
        </w:tc>
        <w:tc>
          <w:tcPr>
            <w:tcW w:type="dxa" w:w="864"/>
            <w:shd w:fill="F8FAFC"/>
            <w:tcMar>
              <w:top w:w="70" w:type="dxa"/>
              <w:bottom w:w="70" w:type="dxa"/>
              <w:left w:w="100" w:type="dxa"/>
              <w:right w:w="100" w:type="dxa"/>
            </w:tcMar>
          </w:tcPr>
          <w:p>
            <w:pPr>
              <w:spacing w:after="0"/>
            </w:pPr>
            <w:r>
              <w:rPr>
                <w:rFonts w:ascii="Calibri" w:hAnsi="Calibri"/>
                <w:color w:val="0F172A"/>
                <w:sz w:val="18"/>
              </w:rPr>
              <w:t>TC-14, TC-17</w:t>
            </w:r>
          </w:p>
        </w:tc>
      </w:tr>
      <w:tr>
        <w:tc>
          <w:tcPr>
            <w:tcW w:type="dxa" w:w="1152"/>
            <w:shd w:fill="FFFFFF"/>
            <w:tcMar>
              <w:top w:w="70" w:type="dxa"/>
              <w:bottom w:w="70" w:type="dxa"/>
              <w:left w:w="100" w:type="dxa"/>
              <w:right w:w="100" w:type="dxa"/>
            </w:tcMar>
          </w:tcPr>
          <w:p>
            <w:pPr>
              <w:spacing w:after="0"/>
            </w:pPr>
            <w:r>
              <w:rPr>
                <w:rFonts w:ascii="Calibri" w:hAnsi="Calibri"/>
                <w:color w:val="0F172A"/>
                <w:sz w:val="18"/>
              </w:rPr>
              <w:t>FR-11</w:t>
            </w:r>
          </w:p>
        </w:tc>
        <w:tc>
          <w:tcPr>
            <w:tcW w:type="dxa" w:w="1872"/>
            <w:shd w:fill="FFFFFF"/>
            <w:tcMar>
              <w:top w:w="70" w:type="dxa"/>
              <w:bottom w:w="70" w:type="dxa"/>
              <w:left w:w="100" w:type="dxa"/>
              <w:right w:w="100" w:type="dxa"/>
            </w:tcMar>
          </w:tcPr>
          <w:p>
            <w:pPr>
              <w:spacing w:after="0"/>
            </w:pPr>
            <w:r>
              <w:rPr>
                <w:rFonts w:ascii="Calibri" w:hAnsi="Calibri"/>
                <w:color w:val="0F172A"/>
                <w:sz w:val="18"/>
              </w:rPr>
              <w:t>Admin Oversight</w:t>
            </w:r>
          </w:p>
        </w:tc>
        <w:tc>
          <w:tcPr>
            <w:tcW w:type="dxa" w:w="1728"/>
            <w:shd w:fill="FFFFFF"/>
            <w:tcMar>
              <w:top w:w="70" w:type="dxa"/>
              <w:bottom w:w="70" w:type="dxa"/>
              <w:left w:w="100" w:type="dxa"/>
              <w:right w:w="100" w:type="dxa"/>
            </w:tcMar>
          </w:tcPr>
          <w:p>
            <w:pPr>
              <w:spacing w:after="0"/>
            </w:pPr>
            <w:r>
              <w:rPr>
                <w:rFonts w:ascii="Calibri" w:hAnsi="Calibri"/>
                <w:color w:val="0F172A"/>
                <w:sz w:val="18"/>
              </w:rPr>
              <w:t>AdminService</w:t>
            </w:r>
          </w:p>
        </w:tc>
        <w:tc>
          <w:tcPr>
            <w:tcW w:type="dxa" w:w="2160"/>
            <w:shd w:fill="FFFFFF"/>
            <w:tcMar>
              <w:top w:w="70" w:type="dxa"/>
              <w:bottom w:w="70" w:type="dxa"/>
              <w:left w:w="100" w:type="dxa"/>
              <w:right w:w="100" w:type="dxa"/>
            </w:tcMar>
          </w:tcPr>
          <w:p>
            <w:pPr>
              <w:spacing w:after="0"/>
            </w:pPr>
            <w:r>
              <w:rPr>
                <w:rFonts w:ascii="Calibri" w:hAnsi="Calibri"/>
                <w:color w:val="0F172A"/>
                <w:sz w:val="18"/>
              </w:rPr>
              <w:t>GET /api/admin/users</w:t>
            </w:r>
          </w:p>
        </w:tc>
        <w:tc>
          <w:tcPr>
            <w:tcW w:type="dxa" w:w="1584"/>
            <w:shd w:fill="FFFFFF"/>
            <w:tcMar>
              <w:top w:w="70" w:type="dxa"/>
              <w:bottom w:w="70" w:type="dxa"/>
              <w:left w:w="100" w:type="dxa"/>
              <w:right w:w="100" w:type="dxa"/>
            </w:tcMar>
          </w:tcPr>
          <w:p>
            <w:pPr>
              <w:spacing w:after="0"/>
            </w:pPr>
            <w:r>
              <w:rPr>
                <w:rFonts w:ascii="Calibri" w:hAnsi="Calibri"/>
                <w:color w:val="0F172A"/>
                <w:sz w:val="18"/>
              </w:rPr>
              <w:t>Administrative RBAC Guard</w:t>
            </w:r>
          </w:p>
        </w:tc>
        <w:tc>
          <w:tcPr>
            <w:tcW w:type="dxa" w:w="864"/>
            <w:shd w:fill="FFFFFF"/>
            <w:tcMar>
              <w:top w:w="70" w:type="dxa"/>
              <w:bottom w:w="70" w:type="dxa"/>
              <w:left w:w="100" w:type="dxa"/>
              <w:right w:w="100" w:type="dxa"/>
            </w:tcMar>
          </w:tcPr>
          <w:p>
            <w:pPr>
              <w:spacing w:after="0"/>
            </w:pPr>
            <w:r>
              <w:rPr>
                <w:rFonts w:ascii="Calibri" w:hAnsi="Calibri"/>
                <w:color w:val="0F172A"/>
                <w:sz w:val="18"/>
              </w:rPr>
              <w:t>TC-07</w:t>
            </w:r>
          </w:p>
        </w:tc>
      </w:tr>
      <w:tr>
        <w:tc>
          <w:tcPr>
            <w:tcW w:type="dxa" w:w="1152"/>
            <w:shd w:fill="F8FAFC"/>
            <w:tcMar>
              <w:top w:w="70" w:type="dxa"/>
              <w:bottom w:w="70" w:type="dxa"/>
              <w:left w:w="100" w:type="dxa"/>
              <w:right w:w="100" w:type="dxa"/>
            </w:tcMar>
          </w:tcPr>
          <w:p>
            <w:pPr>
              <w:spacing w:after="0"/>
            </w:pPr>
            <w:r>
              <w:rPr>
                <w:rFonts w:ascii="Calibri" w:hAnsi="Calibri"/>
                <w:color w:val="0F172A"/>
                <w:sz w:val="18"/>
              </w:rPr>
              <w:t>FR-12</w:t>
            </w:r>
          </w:p>
        </w:tc>
        <w:tc>
          <w:tcPr>
            <w:tcW w:type="dxa" w:w="1872"/>
            <w:shd w:fill="F8FAFC"/>
            <w:tcMar>
              <w:top w:w="70" w:type="dxa"/>
              <w:bottom w:w="70" w:type="dxa"/>
              <w:left w:w="100" w:type="dxa"/>
              <w:right w:w="100" w:type="dxa"/>
            </w:tcMar>
          </w:tcPr>
          <w:p>
            <w:pPr>
              <w:spacing w:after="0"/>
            </w:pPr>
            <w:r>
              <w:rPr>
                <w:rFonts w:ascii="Calibri" w:hAnsi="Calibri"/>
                <w:color w:val="0F172A"/>
                <w:sz w:val="18"/>
              </w:rPr>
              <w:t>Health Probe</w:t>
            </w:r>
          </w:p>
        </w:tc>
        <w:tc>
          <w:tcPr>
            <w:tcW w:type="dxa" w:w="1728"/>
            <w:shd w:fill="F8FAFC"/>
            <w:tcMar>
              <w:top w:w="70" w:type="dxa"/>
              <w:bottom w:w="70" w:type="dxa"/>
              <w:left w:w="100" w:type="dxa"/>
              <w:right w:w="100" w:type="dxa"/>
            </w:tcMar>
          </w:tcPr>
          <w:p>
            <w:pPr>
              <w:spacing w:after="0"/>
            </w:pPr>
            <w:r>
              <w:rPr>
                <w:rFonts w:ascii="Calibri" w:hAnsi="Calibri"/>
                <w:color w:val="0F172A"/>
                <w:sz w:val="18"/>
              </w:rPr>
              <w:t>HealthRouter</w:t>
            </w:r>
          </w:p>
        </w:tc>
        <w:tc>
          <w:tcPr>
            <w:tcW w:type="dxa" w:w="2160"/>
            <w:shd w:fill="F8FAFC"/>
            <w:tcMar>
              <w:top w:w="70" w:type="dxa"/>
              <w:bottom w:w="70" w:type="dxa"/>
              <w:left w:w="100" w:type="dxa"/>
              <w:right w:w="100" w:type="dxa"/>
            </w:tcMar>
          </w:tcPr>
          <w:p>
            <w:pPr>
              <w:spacing w:after="0"/>
            </w:pPr>
            <w:r>
              <w:rPr>
                <w:rFonts w:ascii="Calibri" w:hAnsi="Calibri"/>
                <w:color w:val="0F172A"/>
                <w:sz w:val="18"/>
              </w:rPr>
              <w:t>GET /health</w:t>
            </w:r>
          </w:p>
        </w:tc>
        <w:tc>
          <w:tcPr>
            <w:tcW w:type="dxa" w:w="1584"/>
            <w:shd w:fill="F8FAFC"/>
            <w:tcMar>
              <w:top w:w="70" w:type="dxa"/>
              <w:bottom w:w="70" w:type="dxa"/>
              <w:left w:w="100" w:type="dxa"/>
              <w:right w:w="100" w:type="dxa"/>
            </w:tcMar>
          </w:tcPr>
          <w:p>
            <w:pPr>
              <w:spacing w:after="0"/>
            </w:pPr>
            <w:r>
              <w:rPr>
                <w:rFonts w:ascii="Calibri" w:hAnsi="Calibri"/>
                <w:color w:val="0F172A"/>
                <w:sz w:val="18"/>
              </w:rPr>
              <w:t>Database Connection Check</w:t>
            </w:r>
          </w:p>
        </w:tc>
        <w:tc>
          <w:tcPr>
            <w:tcW w:type="dxa" w:w="864"/>
            <w:shd w:fill="F8FAFC"/>
            <w:tcMar>
              <w:top w:w="70" w:type="dxa"/>
              <w:bottom w:w="70" w:type="dxa"/>
              <w:left w:w="100" w:type="dxa"/>
              <w:right w:w="100" w:type="dxa"/>
            </w:tcMar>
          </w:tcPr>
          <w:p>
            <w:pPr>
              <w:spacing w:after="0"/>
            </w:pPr>
            <w:r>
              <w:rPr>
                <w:rFonts w:ascii="Calibri" w:hAnsi="Calibri"/>
                <w:color w:val="0F172A"/>
                <w:sz w:val="18"/>
              </w:rPr>
              <w:t>TC-11</w:t>
            </w:r>
          </w:p>
        </w:tc>
      </w:tr>
    </w:tbl>
    <w:p>
      <w:pPr>
        <w:spacing w:after="160"/>
      </w:pPr>
    </w:p>
    <w:p>
      <w:pPr>
        <w:keepNext/>
        <w:spacing w:before="320" w:after="120"/>
      </w:pPr>
      <w:r>
        <w:rPr>
          <w:rFonts w:ascii="Arial" w:hAnsi="Arial"/>
          <w:b/>
          <w:color w:val="1E3A8A"/>
          <w:sz w:val="30"/>
        </w:rPr>
        <w:t>6. Acceptance Criteria &amp; Quality Gate</w:t>
      </w:r>
    </w:p>
    <w:p>
      <w:pPr>
        <w:spacing w:after="100" w:line="276" w:lineRule="auto"/>
      </w:pPr>
      <w:r>
        <w:rPr>
          <w:rFonts w:ascii="Calibri" w:hAnsi="Calibri"/>
          <w:b/>
          <w:color w:val="0F172A"/>
          <w:sz w:val="20"/>
        </w:rPr>
        <w:t xml:space="preserve">1. Test Coverage: </w:t>
      </w:r>
      <w:r>
        <w:rPr>
          <w:rFonts w:ascii="Calibri" w:hAnsi="Calibri"/>
          <w:i w:val="0"/>
          <w:color w:val="0F172A"/>
          <w:sz w:val="20"/>
        </w:rPr>
        <w:t>All 33 automated unit, integration, security, and fuzzing tests pass with 100% success rate in CI.</w:t>
      </w:r>
    </w:p>
    <w:p>
      <w:pPr>
        <w:spacing w:after="100" w:line="276" w:lineRule="auto"/>
      </w:pPr>
      <w:r>
        <w:rPr>
          <w:rFonts w:ascii="Calibri" w:hAnsi="Calibri"/>
          <w:b/>
          <w:color w:val="0F172A"/>
          <w:sz w:val="20"/>
        </w:rPr>
        <w:t xml:space="preserve">2. Security Gate: </w:t>
      </w:r>
      <w:r>
        <w:rPr>
          <w:rFonts w:ascii="Calibri" w:hAnsi="Calibri"/>
          <w:i w:val="0"/>
          <w:color w:val="0F172A"/>
          <w:sz w:val="20"/>
        </w:rPr>
        <w:t>The 20 critical academic security test cases pass without exception.</w:t>
      </w:r>
    </w:p>
    <w:p>
      <w:pPr>
        <w:spacing w:after="100" w:line="276" w:lineRule="auto"/>
      </w:pPr>
      <w:r>
        <w:rPr>
          <w:rFonts w:ascii="Calibri" w:hAnsi="Calibri"/>
          <w:b/>
          <w:color w:val="0F172A"/>
          <w:sz w:val="20"/>
        </w:rPr>
        <w:t xml:space="preserve">3. Static Security: </w:t>
      </w:r>
      <w:r>
        <w:rPr>
          <w:rFonts w:ascii="Calibri" w:hAnsi="Calibri"/>
          <w:i w:val="0"/>
          <w:color w:val="0F172A"/>
          <w:sz w:val="20"/>
        </w:rPr>
        <w:t>Bandit SAST scan reports 0 High and 0 Medium severity issues across all backend code.</w:t>
      </w:r>
    </w:p>
    <w:p>
      <w:pPr>
        <w:spacing w:after="100" w:line="276" w:lineRule="auto"/>
      </w:pPr>
      <w:r>
        <w:rPr>
          <w:rFonts w:ascii="Calibri" w:hAnsi="Calibri"/>
          <w:b/>
          <w:color w:val="0F172A"/>
          <w:sz w:val="20"/>
        </w:rPr>
        <w:t xml:space="preserve">4. Container Health: </w:t>
      </w:r>
      <w:r>
        <w:rPr>
          <w:rFonts w:ascii="Calibri" w:hAnsi="Calibri"/>
          <w:i w:val="0"/>
          <w:color w:val="0F172A"/>
          <w:sz w:val="20"/>
        </w:rPr>
        <w:t>Docker Compose multi-service deployment runs with healthy readiness probes.</w:t>
      </w:r>
    </w:p>
    <w:p>
      <w:pPr>
        <w:spacing w:after="100" w:line="276" w:lineRule="auto"/>
      </w:pPr>
      <w:r>
        <w:rPr>
          <w:rFonts w:ascii="Calibri" w:hAnsi="Calibri"/>
          <w:b/>
          <w:color w:val="0F172A"/>
          <w:sz w:val="20"/>
        </w:rPr>
        <w:t xml:space="preserve">5. Cloud-Native Readiness: </w:t>
      </w:r>
      <w:r>
        <w:rPr>
          <w:rFonts w:ascii="Calibri" w:hAnsi="Calibri"/>
          <w:i w:val="0"/>
          <w:color w:val="0F172A"/>
          <w:sz w:val="20"/>
        </w:rPr>
        <w:t>Kubernetes manifests pass dry-run schema validation with non-root security contexts.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Secure Software Engineering Laboratory Examination | Confidential Academic Deliverable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Online Event Registration System (EventHub) | IEEE-830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