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E3A8A"/>
          <w:sz w:val="48"/>
        </w:rPr>
        <w:t>SYSTEM REQUIREMENTS SPECIFICATION</w:t>
      </w:r>
    </w:p>
    <w:p>
      <w:pPr>
        <w:spacing w:before="0" w:after="360"/>
        <w:jc w:val="center"/>
      </w:pPr>
      <w:r>
        <w:rPr>
          <w:rFonts w:ascii="Calibri" w:hAnsi="Calibri"/>
          <w:color w:val="4F46E5"/>
          <w:sz w:val="26"/>
        </w:rPr>
        <w:t>Online Event Registration System (EventHub) — Academic Engineering Report</w:t>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80" w:type="dxa"/>
              <w:bottom w:w="80" w:type="dxa"/>
              <w:left w:w="120" w:type="dxa"/>
              <w:right w:w="120" w:type="dxa"/>
            </w:tcMar>
          </w:tcPr>
          <w:p>
            <w:pPr>
              <w:spacing w:after="40"/>
            </w:pPr>
            <w:r>
              <w:rPr>
                <w:rFonts w:ascii="Calibri" w:hAnsi="Calibri"/>
                <w:b/>
                <w:color w:val="0F172A"/>
                <w:sz w:val="19"/>
              </w:rPr>
              <w:t>Project Title:</w:t>
            </w:r>
            <w:r>
              <w:rPr>
                <w:rFonts w:ascii="Calibri" w:hAnsi="Calibri"/>
                <w:color w:val="1E3A8A"/>
                <w:sz w:val="19"/>
              </w:rPr>
              <w:t xml:space="preserve"> Online Event Registration System (EventHub)</w:t>
            </w:r>
          </w:p>
        </w:tc>
        <w:tc>
          <w:tcPr>
            <w:tcW w:type="dxa" w:w="4680"/>
            <w:shd w:fill="F1F5F9"/>
            <w:tcMar>
              <w:top w:w="80" w:type="dxa"/>
              <w:bottom w:w="80" w:type="dxa"/>
              <w:left w:w="120" w:type="dxa"/>
              <w:right w:w="120" w:type="dxa"/>
            </w:tcMar>
          </w:tcPr>
          <w:p>
            <w:pPr>
              <w:spacing w:after="40"/>
            </w:pPr>
            <w:r>
              <w:rPr>
                <w:rFonts w:ascii="Calibri" w:hAnsi="Calibri"/>
                <w:b/>
                <w:color w:val="0F172A"/>
                <w:sz w:val="19"/>
              </w:rPr>
              <w:t>Document Status:</w:t>
            </w:r>
            <w:r>
              <w:rPr>
                <w:rFonts w:ascii="Calibri" w:hAnsi="Calibri"/>
                <w:color w:val="1E3A8A"/>
                <w:sz w:val="19"/>
              </w:rPr>
              <w:t xml:space="preserve"> Approved &amp; Verified</w:t>
            </w:r>
          </w:p>
        </w:tc>
      </w:tr>
      <w:tr>
        <w:tc>
          <w:tcPr>
            <w:tcW w:type="dxa" w:w="4680"/>
            <w:shd w:fill="F1F5F9"/>
            <w:tcMar>
              <w:top w:w="80" w:type="dxa"/>
              <w:bottom w:w="80" w:type="dxa"/>
              <w:left w:w="120" w:type="dxa"/>
              <w:right w:w="120" w:type="dxa"/>
            </w:tcMar>
          </w:tcPr>
          <w:p>
            <w:pPr>
              <w:spacing w:after="40"/>
            </w:pPr>
            <w:r>
              <w:rPr>
                <w:rFonts w:ascii="Calibri" w:hAnsi="Calibri"/>
                <w:b/>
                <w:color w:val="0F172A"/>
                <w:sz w:val="19"/>
              </w:rPr>
              <w:t>Academic Track:</w:t>
            </w:r>
            <w:r>
              <w:rPr>
                <w:rFonts w:ascii="Calibri" w:hAnsi="Calibri"/>
                <w:color w:val="1E3A8A"/>
                <w:sz w:val="19"/>
              </w:rPr>
              <w:t xml:space="preserve"> Secure Software Engineering (SSE)</w:t>
            </w:r>
          </w:p>
        </w:tc>
        <w:tc>
          <w:tcPr>
            <w:tcW w:type="dxa" w:w="4680"/>
            <w:shd w:fill="F1F5F9"/>
            <w:tcMar>
              <w:top w:w="80" w:type="dxa"/>
              <w:bottom w:w="80" w:type="dxa"/>
              <w:left w:w="120" w:type="dxa"/>
              <w:right w:w="120" w:type="dxa"/>
            </w:tcMar>
          </w:tcPr>
          <w:p>
            <w:pPr>
              <w:spacing w:after="40"/>
            </w:pPr>
            <w:r>
              <w:rPr>
                <w:rFonts w:ascii="Calibri" w:hAnsi="Calibri"/>
                <w:b/>
                <w:color w:val="0F172A"/>
                <w:sz w:val="19"/>
              </w:rPr>
              <w:t>Security Rating:</w:t>
            </w:r>
            <w:r>
              <w:rPr>
                <w:rFonts w:ascii="Calibri" w:hAnsi="Calibri"/>
                <w:color w:val="1E3A8A"/>
                <w:sz w:val="19"/>
              </w:rPr>
              <w:t xml:space="preserve"> 20/20 Critical Security Invariants Passed</w:t>
            </w:r>
          </w:p>
        </w:tc>
      </w:tr>
    </w:tbl>
    <w:p>
      <w:pPr>
        <w:spacing w:after="240"/>
      </w:pPr>
    </w:p>
    <w:p>
      <w:pPr>
        <w:keepNext/>
        <w:spacing w:before="320" w:after="120"/>
      </w:pPr>
      <w:r>
        <w:rPr>
          <w:rFonts w:ascii="Arial" w:hAnsi="Arial"/>
          <w:b/>
          <w:color w:val="1E3A8A"/>
          <w:sz w:val="30"/>
        </w:rPr>
        <w:t>1. Executive Overview &amp; Problem Statement</w:t>
      </w:r>
    </w:p>
    <w:p>
      <w:pPr>
        <w:spacing w:after="100" w:line="276" w:lineRule="auto"/>
      </w:pPr>
      <w:r>
        <w:rPr>
          <w:rFonts w:ascii="Calibri" w:hAnsi="Calibri"/>
          <w:i w:val="0"/>
          <w:color w:val="0F172A"/>
          <w:sz w:val="20"/>
        </w:rPr>
        <w:t>College campuses coordinate a high volume of extracurricular workshops, technical symposiums, hackathons, and cultural festivals. Historically, ad-hoc spreadsheets or unauthenticated forms have led to critical operational failures including ticket hoarding, duplicate registrations, overbooking beyond fire/venue safety caps, and unauthorized harvesting of student contact rosters. The Online Event Registration System (EventHub) addresses this challenge by establishing an enterprise-grade, traceable, secure full-stack web platform.</w:t>
      </w:r>
    </w:p>
    <w:p>
      <w:pPr>
        <w:spacing w:after="100" w:line="276" w:lineRule="auto"/>
      </w:pPr>
      <w:r>
        <w:rPr>
          <w:rFonts w:ascii="Calibri" w:hAnsi="Calibri"/>
          <w:i w:val="0"/>
          <w:color w:val="0F172A"/>
          <w:sz w:val="20"/>
        </w:rPr>
        <w:t>The system enforces strict multi-role governance: Students can browse, view details, register atomically, cancel their own registrations, and inspect personal booking records. Faculty coordinators can create campus events, enforce attendance caps, monitor confirmed participants strictly for events they organized, and close registration. System Administrators maintain institutional role allocations, supervise event lifecycles, and inspect immutable security audit trails.</w:t>
      </w:r>
    </w:p>
    <w:p>
      <w:pPr>
        <w:keepNext/>
        <w:spacing w:before="320" w:after="120"/>
      </w:pPr>
      <w:r>
        <w:rPr>
          <w:rFonts w:ascii="Arial" w:hAnsi="Arial"/>
          <w:b/>
          <w:color w:val="1E3A8A"/>
          <w:sz w:val="30"/>
        </w:rPr>
        <w:t>2. Project Scope &amp; Strategic Objectives</w:t>
      </w:r>
    </w:p>
    <w:p>
      <w:pPr>
        <w:spacing w:after="100" w:line="276" w:lineRule="auto"/>
      </w:pPr>
      <w:r>
        <w:rPr>
          <w:rFonts w:ascii="Calibri" w:hAnsi="Calibri"/>
          <w:i w:val="0"/>
          <w:color w:val="0F172A"/>
          <w:sz w:val="20"/>
        </w:rPr>
        <w:t>The strategic objectives of the system are defined across four core pillars:</w:t>
      </w:r>
    </w:p>
    <w:p>
      <w:pPr>
        <w:spacing w:after="100" w:line="276" w:lineRule="auto"/>
      </w:pPr>
      <w:r>
        <w:rPr>
          <w:rFonts w:ascii="Calibri" w:hAnsi="Calibri"/>
          <w:b/>
          <w:color w:val="0F172A"/>
          <w:sz w:val="20"/>
        </w:rPr>
        <w:t xml:space="preserve">1. Concurrency &amp; Integrity Defense: </w:t>
      </w:r>
      <w:r>
        <w:rPr>
          <w:rFonts w:ascii="Calibri" w:hAnsi="Calibri"/>
          <w:i w:val="0"/>
          <w:color w:val="0F172A"/>
          <w:sz w:val="20"/>
        </w:rPr>
        <w:t>Guarantee that only authenticated students can register, eliminate ticket overbooking under concurrent traffic bursts, and enforce database-level duplicate prevention.</w:t>
      </w:r>
    </w:p>
    <w:p>
      <w:pPr>
        <w:spacing w:after="100" w:line="276" w:lineRule="auto"/>
      </w:pPr>
      <w:r>
        <w:rPr>
          <w:rFonts w:ascii="Calibri" w:hAnsi="Calibri"/>
          <w:b/>
          <w:color w:val="0F172A"/>
          <w:sz w:val="20"/>
        </w:rPr>
        <w:t xml:space="preserve">2. Object-Level Access Control: </w:t>
      </w:r>
      <w:r>
        <w:rPr>
          <w:rFonts w:ascii="Calibri" w:hAnsi="Calibri"/>
          <w:i w:val="0"/>
          <w:color w:val="0F172A"/>
          <w:sz w:val="20"/>
        </w:rPr>
        <w:t>Prevent Horizontal and Vertical Privilege Escalation (Insecure Direct Object References - IDOR) by strictly verifying object ownership on all mutation routes.</w:t>
      </w:r>
    </w:p>
    <w:p>
      <w:pPr>
        <w:spacing w:after="100" w:line="276" w:lineRule="auto"/>
      </w:pPr>
      <w:r>
        <w:rPr>
          <w:rFonts w:ascii="Calibri" w:hAnsi="Calibri"/>
          <w:b/>
          <w:color w:val="0F172A"/>
          <w:sz w:val="20"/>
        </w:rPr>
        <w:t xml:space="preserve">3. Participant Privacy &amp; Data Isolation: </w:t>
      </w:r>
      <w:r>
        <w:rPr>
          <w:rFonts w:ascii="Calibri" w:hAnsi="Calibri"/>
          <w:i w:val="0"/>
          <w:color w:val="0F172A"/>
          <w:sz w:val="20"/>
        </w:rPr>
        <w:t>Student personal data (names, institutional emails) must remain strictly confidential to event creators and authorized administrators.</w:t>
      </w:r>
    </w:p>
    <w:p>
      <w:pPr>
        <w:spacing w:after="100" w:line="276" w:lineRule="auto"/>
      </w:pPr>
      <w:r>
        <w:rPr>
          <w:rFonts w:ascii="Calibri" w:hAnsi="Calibri"/>
          <w:b/>
          <w:color w:val="0F172A"/>
          <w:sz w:val="20"/>
        </w:rPr>
        <w:t xml:space="preserve">4. Comprehensive Auditability: </w:t>
      </w:r>
      <w:r>
        <w:rPr>
          <w:rFonts w:ascii="Calibri" w:hAnsi="Calibri"/>
          <w:i w:val="0"/>
          <w:color w:val="0F172A"/>
          <w:sz w:val="20"/>
        </w:rPr>
        <w:t>Capture all security-sensitive operations (authentication attempts, registration events, cancellations, authorization denials) in an append-only audit log.</w:t>
      </w:r>
    </w:p>
    <w:p>
      <w:pPr>
        <w:keepNext/>
        <w:spacing w:before="320" w:after="120"/>
      </w:pPr>
      <w:r>
        <w:rPr>
          <w:rFonts w:ascii="Arial" w:hAnsi="Arial"/>
          <w:b/>
          <w:color w:val="1E3A8A"/>
          <w:sz w:val="30"/>
        </w:rPr>
        <w:t>3. Stakeholders &amp; User Roles Matrix</w:t>
      </w:r>
    </w:p>
    <w:tbl>
      <w:tblPr>
        <w:tblW w:type="auto" w:w="0"/>
        <w:jc w:val="center"/>
        <w:tblLook w:firstColumn="1" w:firstRow="1" w:lastColumn="0" w:lastRow="0" w:noHBand="0" w:noVBand="1" w:val="04A0"/>
      </w:tblPr>
      <w:tblGrid>
        <w:gridCol w:w="2340"/>
        <w:gridCol w:w="2340"/>
        <w:gridCol w:w="2340"/>
        <w:gridCol w:w="2340"/>
      </w:tblGrid>
      <w:tr>
        <w:tc>
          <w:tcPr>
            <w:tcW w:type="dxa" w:w="1440"/>
            <w:shd w:fill="1E3A8A"/>
            <w:tcMar>
              <w:top w:w="100" w:type="dxa"/>
              <w:bottom w:w="100" w:type="dxa"/>
              <w:left w:w="120" w:type="dxa"/>
              <w:right w:w="120" w:type="dxa"/>
            </w:tcMar>
          </w:tcPr>
          <w:p>
            <w:pPr>
              <w:spacing w:after="0"/>
            </w:pPr>
            <w:r>
              <w:rPr>
                <w:rFonts w:ascii="Calibri" w:hAnsi="Calibri"/>
                <w:b/>
                <w:color w:val="FFFFFF"/>
                <w:sz w:val="19"/>
              </w:rPr>
              <w:t>Role Identifier</w:t>
            </w:r>
          </w:p>
        </w:tc>
        <w:tc>
          <w:tcPr>
            <w:tcW w:type="dxa" w:w="1728"/>
            <w:shd w:fill="1E3A8A"/>
            <w:tcMar>
              <w:top w:w="100" w:type="dxa"/>
              <w:bottom w:w="100" w:type="dxa"/>
              <w:left w:w="120" w:type="dxa"/>
              <w:right w:w="120" w:type="dxa"/>
            </w:tcMar>
          </w:tcPr>
          <w:p>
            <w:pPr>
              <w:spacing w:after="0"/>
            </w:pPr>
            <w:r>
              <w:rPr>
                <w:rFonts w:ascii="Calibri" w:hAnsi="Calibri"/>
                <w:b/>
                <w:color w:val="FFFFFF"/>
                <w:sz w:val="19"/>
              </w:rPr>
              <w:t>Role Name</w:t>
            </w:r>
          </w:p>
        </w:tc>
        <w:tc>
          <w:tcPr>
            <w:tcW w:type="dxa" w:w="2592"/>
            <w:shd w:fill="1E3A8A"/>
            <w:tcMar>
              <w:top w:w="100" w:type="dxa"/>
              <w:bottom w:w="100" w:type="dxa"/>
              <w:left w:w="120" w:type="dxa"/>
              <w:right w:w="120" w:type="dxa"/>
            </w:tcMar>
          </w:tcPr>
          <w:p>
            <w:pPr>
              <w:spacing w:after="0"/>
            </w:pPr>
            <w:r>
              <w:rPr>
                <w:rFonts w:ascii="Calibri" w:hAnsi="Calibri"/>
                <w:b/>
                <w:color w:val="FFFFFF"/>
                <w:sz w:val="19"/>
              </w:rPr>
              <w:t>Target Demographic</w:t>
            </w:r>
          </w:p>
        </w:tc>
        <w:tc>
          <w:tcPr>
            <w:tcW w:type="dxa" w:w="3600"/>
            <w:shd w:fill="1E3A8A"/>
            <w:tcMar>
              <w:top w:w="100" w:type="dxa"/>
              <w:bottom w:w="100" w:type="dxa"/>
              <w:left w:w="120" w:type="dxa"/>
              <w:right w:w="120" w:type="dxa"/>
            </w:tcMar>
          </w:tcPr>
          <w:p>
            <w:pPr>
              <w:spacing w:after="0"/>
            </w:pPr>
            <w:r>
              <w:rPr>
                <w:rFonts w:ascii="Calibri" w:hAnsi="Calibri"/>
                <w:b/>
                <w:color w:val="FFFFFF"/>
                <w:sz w:val="19"/>
              </w:rPr>
              <w:t>System Access Rights &amp; Explicit Boundaries</w:t>
            </w:r>
          </w:p>
        </w:tc>
      </w:tr>
      <w:tr>
        <w:tc>
          <w:tcPr>
            <w:tcW w:type="dxa" w:w="1440"/>
            <w:shd w:fill="FFFFFF"/>
            <w:tcMar>
              <w:top w:w="70" w:type="dxa"/>
              <w:bottom w:w="70" w:type="dxa"/>
              <w:left w:w="100" w:type="dxa"/>
              <w:right w:w="100" w:type="dxa"/>
            </w:tcMar>
          </w:tcPr>
          <w:p>
            <w:pPr>
              <w:spacing w:after="0"/>
            </w:pPr>
            <w:r>
              <w:rPr>
                <w:rFonts w:ascii="Calibri" w:hAnsi="Calibri"/>
                <w:color w:val="0F172A"/>
                <w:sz w:val="18"/>
              </w:rPr>
              <w:t>ACT-01</w:t>
            </w:r>
          </w:p>
        </w:tc>
        <w:tc>
          <w:tcPr>
            <w:tcW w:type="dxa" w:w="1728"/>
            <w:shd w:fill="FFFFFF"/>
            <w:tcMar>
              <w:top w:w="70" w:type="dxa"/>
              <w:bottom w:w="70" w:type="dxa"/>
              <w:left w:w="100" w:type="dxa"/>
              <w:right w:w="100" w:type="dxa"/>
            </w:tcMar>
          </w:tcPr>
          <w:p>
            <w:pPr>
              <w:spacing w:after="0"/>
            </w:pPr>
            <w:r>
              <w:rPr>
                <w:rFonts w:ascii="Calibri" w:hAnsi="Calibri"/>
                <w:color w:val="0F172A"/>
                <w:sz w:val="18"/>
              </w:rPr>
              <w:t>GUEST</w:t>
            </w:r>
          </w:p>
        </w:tc>
        <w:tc>
          <w:tcPr>
            <w:tcW w:type="dxa" w:w="2592"/>
            <w:shd w:fill="FFFFFF"/>
            <w:tcMar>
              <w:top w:w="70" w:type="dxa"/>
              <w:bottom w:w="70" w:type="dxa"/>
              <w:left w:w="100" w:type="dxa"/>
              <w:right w:w="100" w:type="dxa"/>
            </w:tcMar>
          </w:tcPr>
          <w:p>
            <w:pPr>
              <w:spacing w:after="0"/>
            </w:pPr>
            <w:r>
              <w:rPr>
                <w:rFonts w:ascii="Calibri" w:hAnsi="Calibri"/>
                <w:color w:val="0F172A"/>
                <w:sz w:val="18"/>
              </w:rPr>
              <w:t>Public Visitor / Prospective Student</w:t>
            </w:r>
          </w:p>
        </w:tc>
        <w:tc>
          <w:tcPr>
            <w:tcW w:type="dxa" w:w="3600"/>
            <w:shd w:fill="FFFFFF"/>
            <w:tcMar>
              <w:top w:w="70" w:type="dxa"/>
              <w:bottom w:w="70" w:type="dxa"/>
              <w:left w:w="100" w:type="dxa"/>
              <w:right w:w="100" w:type="dxa"/>
            </w:tcMar>
          </w:tcPr>
          <w:p>
            <w:pPr>
              <w:spacing w:after="0"/>
            </w:pPr>
            <w:r>
              <w:rPr>
                <w:rFonts w:ascii="Calibri" w:hAnsi="Calibri"/>
                <w:color w:val="0F172A"/>
                <w:sz w:val="18"/>
              </w:rPr>
              <w:t>Unauthenticated visitor. Can browse public events, search categories, and view event venues. Cannot register, cancel, or inspect participant rosters.</w:t>
            </w:r>
          </w:p>
        </w:tc>
      </w:tr>
      <w:tr>
        <w:tc>
          <w:tcPr>
            <w:tcW w:type="dxa" w:w="1440"/>
            <w:shd w:fill="F8FAFC"/>
            <w:tcMar>
              <w:top w:w="70" w:type="dxa"/>
              <w:bottom w:w="70" w:type="dxa"/>
              <w:left w:w="100" w:type="dxa"/>
              <w:right w:w="100" w:type="dxa"/>
            </w:tcMar>
          </w:tcPr>
          <w:p>
            <w:pPr>
              <w:spacing w:after="0"/>
            </w:pPr>
            <w:r>
              <w:rPr>
                <w:rFonts w:ascii="Calibri" w:hAnsi="Calibri"/>
                <w:color w:val="0F172A"/>
                <w:sz w:val="18"/>
              </w:rPr>
              <w:t>ACT-02</w:t>
            </w:r>
          </w:p>
        </w:tc>
        <w:tc>
          <w:tcPr>
            <w:tcW w:type="dxa" w:w="1728"/>
            <w:shd w:fill="F8FAFC"/>
            <w:tcMar>
              <w:top w:w="70" w:type="dxa"/>
              <w:bottom w:w="70" w:type="dxa"/>
              <w:left w:w="100" w:type="dxa"/>
              <w:right w:w="100" w:type="dxa"/>
            </w:tcMar>
          </w:tcPr>
          <w:p>
            <w:pPr>
              <w:spacing w:after="0"/>
            </w:pPr>
            <w:r>
              <w:rPr>
                <w:rFonts w:ascii="Calibri" w:hAnsi="Calibri"/>
                <w:color w:val="0F172A"/>
                <w:sz w:val="18"/>
              </w:rPr>
              <w:t>STUDENT</w:t>
            </w:r>
          </w:p>
        </w:tc>
        <w:tc>
          <w:tcPr>
            <w:tcW w:type="dxa" w:w="2592"/>
            <w:shd w:fill="F8FAFC"/>
            <w:tcMar>
              <w:top w:w="70" w:type="dxa"/>
              <w:bottom w:w="70" w:type="dxa"/>
              <w:left w:w="100" w:type="dxa"/>
              <w:right w:w="100" w:type="dxa"/>
            </w:tcMar>
          </w:tcPr>
          <w:p>
            <w:pPr>
              <w:spacing w:after="0"/>
            </w:pPr>
            <w:r>
              <w:rPr>
                <w:rFonts w:ascii="Calibri" w:hAnsi="Calibri"/>
                <w:color w:val="0F172A"/>
                <w:sz w:val="18"/>
              </w:rPr>
              <w:t>Enrolled University Student</w:t>
            </w:r>
          </w:p>
        </w:tc>
        <w:tc>
          <w:tcPr>
            <w:tcW w:type="dxa" w:w="3600"/>
            <w:shd w:fill="F8FAFC"/>
            <w:tcMar>
              <w:top w:w="70" w:type="dxa"/>
              <w:bottom w:w="70" w:type="dxa"/>
              <w:left w:w="100" w:type="dxa"/>
              <w:right w:w="100" w:type="dxa"/>
            </w:tcMar>
          </w:tcPr>
          <w:p>
            <w:pPr>
              <w:spacing w:after="0"/>
            </w:pPr>
            <w:r>
              <w:rPr>
                <w:rFonts w:ascii="Calibri" w:hAnsi="Calibri"/>
                <w:color w:val="0F172A"/>
                <w:sz w:val="18"/>
              </w:rPr>
              <w:t>Authenticated participant. Can browse events, register atomically for open events within capacity, cancel own registrations, and view own booking history. Strictly prohibited from creating events or inspecting other students' bookings.</w:t>
            </w:r>
          </w:p>
        </w:tc>
      </w:tr>
      <w:tr>
        <w:tc>
          <w:tcPr>
            <w:tcW w:type="dxa" w:w="1440"/>
            <w:shd w:fill="FFFFFF"/>
            <w:tcMar>
              <w:top w:w="70" w:type="dxa"/>
              <w:bottom w:w="70" w:type="dxa"/>
              <w:left w:w="100" w:type="dxa"/>
              <w:right w:w="100" w:type="dxa"/>
            </w:tcMar>
          </w:tcPr>
          <w:p>
            <w:pPr>
              <w:spacing w:after="0"/>
            </w:pPr>
            <w:r>
              <w:rPr>
                <w:rFonts w:ascii="Calibri" w:hAnsi="Calibri"/>
                <w:color w:val="0F172A"/>
                <w:sz w:val="18"/>
              </w:rPr>
              <w:t>ACT-03</w:t>
            </w:r>
          </w:p>
        </w:tc>
        <w:tc>
          <w:tcPr>
            <w:tcW w:type="dxa" w:w="1728"/>
            <w:shd w:fill="FFFFFF"/>
            <w:tcMar>
              <w:top w:w="70" w:type="dxa"/>
              <w:bottom w:w="70" w:type="dxa"/>
              <w:left w:w="100" w:type="dxa"/>
              <w:right w:w="100" w:type="dxa"/>
            </w:tcMar>
          </w:tcPr>
          <w:p>
            <w:pPr>
              <w:spacing w:after="0"/>
            </w:pPr>
            <w:r>
              <w:rPr>
                <w:rFonts w:ascii="Calibri" w:hAnsi="Calibri"/>
                <w:color w:val="0F172A"/>
                <w:sz w:val="18"/>
              </w:rPr>
              <w:t>FACULTY</w:t>
            </w:r>
          </w:p>
        </w:tc>
        <w:tc>
          <w:tcPr>
            <w:tcW w:type="dxa" w:w="2592"/>
            <w:shd w:fill="FFFFFF"/>
            <w:tcMar>
              <w:top w:w="70" w:type="dxa"/>
              <w:bottom w:w="70" w:type="dxa"/>
              <w:left w:w="100" w:type="dxa"/>
              <w:right w:w="100" w:type="dxa"/>
            </w:tcMar>
          </w:tcPr>
          <w:p>
            <w:pPr>
              <w:spacing w:after="0"/>
            </w:pPr>
            <w:r>
              <w:rPr>
                <w:rFonts w:ascii="Calibri" w:hAnsi="Calibri"/>
                <w:color w:val="0F172A"/>
                <w:sz w:val="18"/>
              </w:rPr>
              <w:t>Department Coordinator / Professor</w:t>
            </w:r>
          </w:p>
        </w:tc>
        <w:tc>
          <w:tcPr>
            <w:tcW w:type="dxa" w:w="3600"/>
            <w:shd w:fill="FFFFFF"/>
            <w:tcMar>
              <w:top w:w="70" w:type="dxa"/>
              <w:bottom w:w="70" w:type="dxa"/>
              <w:left w:w="100" w:type="dxa"/>
              <w:right w:w="100" w:type="dxa"/>
            </w:tcMar>
          </w:tcPr>
          <w:p>
            <w:pPr>
              <w:spacing w:after="0"/>
            </w:pPr>
            <w:r>
              <w:rPr>
                <w:rFonts w:ascii="Calibri" w:hAnsi="Calibri"/>
                <w:color w:val="0F172A"/>
                <w:sz w:val="18"/>
              </w:rPr>
              <w:t>Event organizer. Can create events, set quotas, view attendee rosters strictly for own events, and close registration. Strictly barred from modifying other faculty members' events.</w:t>
            </w:r>
          </w:p>
        </w:tc>
      </w:tr>
      <w:tr>
        <w:tc>
          <w:tcPr>
            <w:tcW w:type="dxa" w:w="1440"/>
            <w:shd w:fill="F8FAFC"/>
            <w:tcMar>
              <w:top w:w="70" w:type="dxa"/>
              <w:bottom w:w="70" w:type="dxa"/>
              <w:left w:w="100" w:type="dxa"/>
              <w:right w:w="100" w:type="dxa"/>
            </w:tcMar>
          </w:tcPr>
          <w:p>
            <w:pPr>
              <w:spacing w:after="0"/>
            </w:pPr>
            <w:r>
              <w:rPr>
                <w:rFonts w:ascii="Calibri" w:hAnsi="Calibri"/>
                <w:color w:val="0F172A"/>
                <w:sz w:val="18"/>
              </w:rPr>
              <w:t>ACT-04</w:t>
            </w:r>
          </w:p>
        </w:tc>
        <w:tc>
          <w:tcPr>
            <w:tcW w:type="dxa" w:w="1728"/>
            <w:shd w:fill="F8FAFC"/>
            <w:tcMar>
              <w:top w:w="70" w:type="dxa"/>
              <w:bottom w:w="70" w:type="dxa"/>
              <w:left w:w="100" w:type="dxa"/>
              <w:right w:w="100" w:type="dxa"/>
            </w:tcMar>
          </w:tcPr>
          <w:p>
            <w:pPr>
              <w:spacing w:after="0"/>
            </w:pPr>
            <w:r>
              <w:rPr>
                <w:rFonts w:ascii="Calibri" w:hAnsi="Calibri"/>
                <w:color w:val="0F172A"/>
                <w:sz w:val="18"/>
              </w:rPr>
              <w:t>ADMIN</w:t>
            </w:r>
          </w:p>
        </w:tc>
        <w:tc>
          <w:tcPr>
            <w:tcW w:type="dxa" w:w="2592"/>
            <w:shd w:fill="F8FAFC"/>
            <w:tcMar>
              <w:top w:w="70" w:type="dxa"/>
              <w:bottom w:w="70" w:type="dxa"/>
              <w:left w:w="100" w:type="dxa"/>
              <w:right w:w="100" w:type="dxa"/>
            </w:tcMar>
          </w:tcPr>
          <w:p>
            <w:pPr>
              <w:spacing w:after="0"/>
            </w:pPr>
            <w:r>
              <w:rPr>
                <w:rFonts w:ascii="Calibri" w:hAnsi="Calibri"/>
                <w:color w:val="0F172A"/>
                <w:sz w:val="18"/>
              </w:rPr>
              <w:t>System Administrator</w:t>
            </w:r>
          </w:p>
        </w:tc>
        <w:tc>
          <w:tcPr>
            <w:tcW w:type="dxa" w:w="3600"/>
            <w:shd w:fill="F8FAFC"/>
            <w:tcMar>
              <w:top w:w="70" w:type="dxa"/>
              <w:bottom w:w="70" w:type="dxa"/>
              <w:left w:w="100" w:type="dxa"/>
              <w:right w:w="100" w:type="dxa"/>
            </w:tcMar>
          </w:tcPr>
          <w:p>
            <w:pPr>
              <w:spacing w:after="0"/>
            </w:pPr>
            <w:r>
              <w:rPr>
                <w:rFonts w:ascii="Calibri" w:hAnsi="Calibri"/>
                <w:color w:val="0F172A"/>
                <w:sz w:val="18"/>
              </w:rPr>
              <w:t>Privileged overseer. Can view all events, manage user roles, inspect audit logs, and monitor system metrics. Administrative privileges are strictly isolated from standard students and faculty.</w:t>
            </w:r>
          </w:p>
        </w:tc>
      </w:tr>
    </w:tbl>
    <w:p>
      <w:pPr>
        <w:spacing w:after="160"/>
      </w:pPr>
    </w:p>
    <w:p>
      <w:pPr>
        <w:keepNext/>
        <w:spacing w:before="320" w:after="120"/>
      </w:pPr>
      <w:r>
        <w:rPr>
          <w:rFonts w:ascii="Arial" w:hAnsi="Arial"/>
          <w:b/>
          <w:color w:val="1E3A8A"/>
          <w:sz w:val="30"/>
        </w:rPr>
        <w:t>4. Functional Requirements (FR)</w:t>
      </w:r>
    </w:p>
    <w:p>
      <w:pPr>
        <w:spacing w:after="100" w:line="276" w:lineRule="auto"/>
      </w:pPr>
      <w:r>
        <w:rPr>
          <w:rFonts w:ascii="Calibri" w:hAnsi="Calibri"/>
          <w:i w:val="0"/>
          <w:color w:val="0F172A"/>
          <w:sz w:val="20"/>
        </w:rPr>
        <w:t>The system implements 12 verified functional requirements mapped to business capabilities: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1E3A8A"/>
            <w:tcMar>
              <w:top w:w="100" w:type="dxa"/>
              <w:bottom w:w="100" w:type="dxa"/>
              <w:left w:w="120" w:type="dxa"/>
              <w:right w:w="120" w:type="dxa"/>
            </w:tcMar>
          </w:tcPr>
          <w:p>
            <w:pPr>
              <w:spacing w:after="0"/>
            </w:pPr>
            <w:r>
              <w:rPr>
                <w:rFonts w:ascii="Calibri" w:hAnsi="Calibri"/>
                <w:b/>
                <w:color w:val="FFFFFF"/>
                <w:sz w:val="19"/>
              </w:rPr>
              <w:t>Req ID</w:t>
            </w:r>
          </w:p>
        </w:tc>
        <w:tc>
          <w:tcPr>
            <w:tcW w:type="dxa" w:w="3168"/>
            <w:shd w:fill="1E3A8A"/>
            <w:tcMar>
              <w:top w:w="100" w:type="dxa"/>
              <w:bottom w:w="100" w:type="dxa"/>
              <w:left w:w="120" w:type="dxa"/>
              <w:right w:w="120" w:type="dxa"/>
            </w:tcMar>
          </w:tcPr>
          <w:p>
            <w:pPr>
              <w:spacing w:after="0"/>
            </w:pPr>
            <w:r>
              <w:rPr>
                <w:rFonts w:ascii="Calibri" w:hAnsi="Calibri"/>
                <w:b/>
                <w:color w:val="FFFFFF"/>
                <w:sz w:val="19"/>
              </w:rPr>
              <w:t>Requirement Description</w:t>
            </w:r>
          </w:p>
        </w:tc>
        <w:tc>
          <w:tcPr>
            <w:tcW w:type="dxa" w:w="1296"/>
            <w:shd w:fill="1E3A8A"/>
            <w:tcMar>
              <w:top w:w="100" w:type="dxa"/>
              <w:bottom w:w="100" w:type="dxa"/>
              <w:left w:w="120" w:type="dxa"/>
              <w:right w:w="120" w:type="dxa"/>
            </w:tcMar>
          </w:tcPr>
          <w:p>
            <w:pPr>
              <w:spacing w:after="0"/>
            </w:pPr>
            <w:r>
              <w:rPr>
                <w:rFonts w:ascii="Calibri" w:hAnsi="Calibri"/>
                <w:b/>
                <w:color w:val="FFFFFF"/>
                <w:sz w:val="19"/>
              </w:rPr>
              <w:t>Primary Actor</w:t>
            </w:r>
          </w:p>
        </w:tc>
        <w:tc>
          <w:tcPr>
            <w:tcW w:type="dxa" w:w="1296"/>
            <w:shd w:fill="1E3A8A"/>
            <w:tcMar>
              <w:top w:w="100" w:type="dxa"/>
              <w:bottom w:w="100" w:type="dxa"/>
              <w:left w:w="120" w:type="dxa"/>
              <w:right w:w="120" w:type="dxa"/>
            </w:tcMar>
          </w:tcPr>
          <w:p>
            <w:pPr>
              <w:spacing w:after="0"/>
            </w:pPr>
            <w:r>
              <w:rPr>
                <w:rFonts w:ascii="Calibri" w:hAnsi="Calibri"/>
                <w:b/>
                <w:color w:val="FFFFFF"/>
                <w:sz w:val="19"/>
              </w:rPr>
              <w:t>Priority</w:t>
            </w:r>
          </w:p>
        </w:tc>
        <w:tc>
          <w:tcPr>
            <w:tcW w:type="dxa" w:w="2448"/>
            <w:shd w:fill="1E3A8A"/>
            <w:tcMar>
              <w:top w:w="100" w:type="dxa"/>
              <w:bottom w:w="100" w:type="dxa"/>
              <w:left w:w="120" w:type="dxa"/>
              <w:right w:w="120" w:type="dxa"/>
            </w:tcMar>
          </w:tcPr>
          <w:p>
            <w:pPr>
              <w:spacing w:after="0"/>
            </w:pPr>
            <w:r>
              <w:rPr>
                <w:rFonts w:ascii="Calibri" w:hAnsi="Calibri"/>
                <w:b/>
                <w:color w:val="FFFFFF"/>
                <w:sz w:val="19"/>
              </w:rPr>
              <w:t>Implemented Service / Endpoint</w:t>
            </w:r>
          </w:p>
        </w:tc>
      </w:tr>
      <w:tr>
        <w:tc>
          <w:tcPr>
            <w:tcW w:type="dxa" w:w="1152"/>
            <w:shd w:fill="FFFFFF"/>
            <w:tcMar>
              <w:top w:w="70" w:type="dxa"/>
              <w:bottom w:w="70" w:type="dxa"/>
              <w:left w:w="100" w:type="dxa"/>
              <w:right w:w="100" w:type="dxa"/>
            </w:tcMar>
          </w:tcPr>
          <w:p>
            <w:pPr>
              <w:spacing w:after="0"/>
            </w:pPr>
            <w:r>
              <w:rPr>
                <w:rFonts w:ascii="Calibri" w:hAnsi="Calibri"/>
                <w:color w:val="0F172A"/>
                <w:sz w:val="18"/>
              </w:rPr>
              <w:t>FR-01</w:t>
            </w:r>
          </w:p>
        </w:tc>
        <w:tc>
          <w:tcPr>
            <w:tcW w:type="dxa" w:w="3168"/>
            <w:shd w:fill="FFFFFF"/>
            <w:tcMar>
              <w:top w:w="70" w:type="dxa"/>
              <w:bottom w:w="70" w:type="dxa"/>
              <w:left w:w="100" w:type="dxa"/>
              <w:right w:w="100" w:type="dxa"/>
            </w:tcMar>
          </w:tcPr>
          <w:p>
            <w:pPr>
              <w:spacing w:after="0"/>
            </w:pPr>
            <w:r>
              <w:rPr>
                <w:rFonts w:ascii="Calibri" w:hAnsi="Calibri"/>
                <w:color w:val="0F172A"/>
                <w:sz w:val="18"/>
              </w:rPr>
              <w:t>View Available Events: Filter and search events by keyword, category, and date.</w:t>
            </w:r>
          </w:p>
        </w:tc>
        <w:tc>
          <w:tcPr>
            <w:tcW w:type="dxa" w:w="1296"/>
            <w:shd w:fill="FFFFFF"/>
            <w:tcMar>
              <w:top w:w="70" w:type="dxa"/>
              <w:bottom w:w="70" w:type="dxa"/>
              <w:left w:w="100" w:type="dxa"/>
              <w:right w:w="100" w:type="dxa"/>
            </w:tcMar>
          </w:tcPr>
          <w:p>
            <w:pPr>
              <w:spacing w:after="0"/>
            </w:pPr>
            <w:r>
              <w:rPr>
                <w:rFonts w:ascii="Calibri" w:hAnsi="Calibri"/>
                <w:color w:val="0F172A"/>
                <w:sz w:val="18"/>
              </w:rPr>
              <w:t>All Users</w:t>
            </w:r>
          </w:p>
        </w:tc>
        <w:tc>
          <w:tcPr>
            <w:tcW w:type="dxa" w:w="1296"/>
            <w:shd w:fill="FFFFFF"/>
            <w:tcMar>
              <w:top w:w="70" w:type="dxa"/>
              <w:bottom w:w="70" w:type="dxa"/>
              <w:left w:w="100" w:type="dxa"/>
              <w:right w:w="100" w:type="dxa"/>
            </w:tcMar>
          </w:tcPr>
          <w:p>
            <w:pPr>
              <w:spacing w:after="0"/>
            </w:pPr>
            <w:r>
              <w:rPr>
                <w:rFonts w:ascii="Calibri" w:hAnsi="Calibri"/>
                <w:color w:val="0F172A"/>
                <w:sz w:val="18"/>
              </w:rPr>
              <w:t>Must Have</w:t>
            </w:r>
          </w:p>
        </w:tc>
        <w:tc>
          <w:tcPr>
            <w:tcW w:type="dxa" w:w="2448"/>
            <w:shd w:fill="FFFFFF"/>
            <w:tcMar>
              <w:top w:w="70" w:type="dxa"/>
              <w:bottom w:w="70" w:type="dxa"/>
              <w:left w:w="100" w:type="dxa"/>
              <w:right w:w="100" w:type="dxa"/>
            </w:tcMar>
          </w:tcPr>
          <w:p>
            <w:pPr>
              <w:spacing w:after="0"/>
            </w:pPr>
            <w:r>
              <w:rPr>
                <w:rFonts w:ascii="Calibri" w:hAnsi="Calibri"/>
                <w:color w:val="0F172A"/>
                <w:sz w:val="18"/>
              </w:rPr>
              <w:t>GET /api/events (EventService.get_events)</w:t>
            </w:r>
          </w:p>
        </w:tc>
      </w:tr>
      <w:tr>
        <w:tc>
          <w:tcPr>
            <w:tcW w:type="dxa" w:w="1152"/>
            <w:shd w:fill="F8FAFC"/>
            <w:tcMar>
              <w:top w:w="70" w:type="dxa"/>
              <w:bottom w:w="70" w:type="dxa"/>
              <w:left w:w="100" w:type="dxa"/>
              <w:right w:w="100" w:type="dxa"/>
            </w:tcMar>
          </w:tcPr>
          <w:p>
            <w:pPr>
              <w:spacing w:after="0"/>
            </w:pPr>
            <w:r>
              <w:rPr>
                <w:rFonts w:ascii="Calibri" w:hAnsi="Calibri"/>
                <w:color w:val="0F172A"/>
                <w:sz w:val="18"/>
              </w:rPr>
              <w:t>FR-02</w:t>
            </w:r>
          </w:p>
        </w:tc>
        <w:tc>
          <w:tcPr>
            <w:tcW w:type="dxa" w:w="3168"/>
            <w:shd w:fill="F8FAFC"/>
            <w:tcMar>
              <w:top w:w="70" w:type="dxa"/>
              <w:bottom w:w="70" w:type="dxa"/>
              <w:left w:w="100" w:type="dxa"/>
              <w:right w:w="100" w:type="dxa"/>
            </w:tcMar>
          </w:tcPr>
          <w:p>
            <w:pPr>
              <w:spacing w:after="0"/>
            </w:pPr>
            <w:r>
              <w:rPr>
                <w:rFonts w:ascii="Calibri" w:hAnsi="Calibri"/>
                <w:color w:val="0F172A"/>
                <w:sz w:val="18"/>
              </w:rPr>
              <w:t>View Event Details: Inspect logistics, schedule, venue, and live seat quota.</w:t>
            </w:r>
          </w:p>
        </w:tc>
        <w:tc>
          <w:tcPr>
            <w:tcW w:type="dxa" w:w="1296"/>
            <w:shd w:fill="F8FAFC"/>
            <w:tcMar>
              <w:top w:w="70" w:type="dxa"/>
              <w:bottom w:w="70" w:type="dxa"/>
              <w:left w:w="100" w:type="dxa"/>
              <w:right w:w="100" w:type="dxa"/>
            </w:tcMar>
          </w:tcPr>
          <w:p>
            <w:pPr>
              <w:spacing w:after="0"/>
            </w:pPr>
            <w:r>
              <w:rPr>
                <w:rFonts w:ascii="Calibri" w:hAnsi="Calibri"/>
                <w:color w:val="0F172A"/>
                <w:sz w:val="18"/>
              </w:rPr>
              <w:t>All Users</w:t>
            </w:r>
          </w:p>
        </w:tc>
        <w:tc>
          <w:tcPr>
            <w:tcW w:type="dxa" w:w="1296"/>
            <w:shd w:fill="F8FAFC"/>
            <w:tcMar>
              <w:top w:w="70" w:type="dxa"/>
              <w:bottom w:w="70" w:type="dxa"/>
              <w:left w:w="100" w:type="dxa"/>
              <w:right w:w="100" w:type="dxa"/>
            </w:tcMar>
          </w:tcPr>
          <w:p>
            <w:pPr>
              <w:spacing w:after="0"/>
            </w:pPr>
            <w:r>
              <w:rPr>
                <w:rFonts w:ascii="Calibri" w:hAnsi="Calibri"/>
                <w:color w:val="0F172A"/>
                <w:sz w:val="18"/>
              </w:rPr>
              <w:t>Must Have</w:t>
            </w:r>
          </w:p>
        </w:tc>
        <w:tc>
          <w:tcPr>
            <w:tcW w:type="dxa" w:w="2448"/>
            <w:shd w:fill="F8FAFC"/>
            <w:tcMar>
              <w:top w:w="70" w:type="dxa"/>
              <w:bottom w:w="70" w:type="dxa"/>
              <w:left w:w="100" w:type="dxa"/>
              <w:right w:w="100" w:type="dxa"/>
            </w:tcMar>
          </w:tcPr>
          <w:p>
            <w:pPr>
              <w:spacing w:after="0"/>
            </w:pPr>
            <w:r>
              <w:rPr>
                <w:rFonts w:ascii="Calibri" w:hAnsi="Calibri"/>
                <w:color w:val="0F172A"/>
                <w:sz w:val="18"/>
              </w:rPr>
              <w:t>GET /api/events/{id} (EventService.get_event_by_id)</w:t>
            </w:r>
          </w:p>
        </w:tc>
      </w:tr>
      <w:tr>
        <w:tc>
          <w:tcPr>
            <w:tcW w:type="dxa" w:w="1152"/>
            <w:shd w:fill="FFFFFF"/>
            <w:tcMar>
              <w:top w:w="70" w:type="dxa"/>
              <w:bottom w:w="70" w:type="dxa"/>
              <w:left w:w="100" w:type="dxa"/>
              <w:right w:w="100" w:type="dxa"/>
            </w:tcMar>
          </w:tcPr>
          <w:p>
            <w:pPr>
              <w:spacing w:after="0"/>
            </w:pPr>
            <w:r>
              <w:rPr>
                <w:rFonts w:ascii="Calibri" w:hAnsi="Calibri"/>
                <w:color w:val="0F172A"/>
                <w:sz w:val="18"/>
              </w:rPr>
              <w:t>FR-03</w:t>
            </w:r>
          </w:p>
        </w:tc>
        <w:tc>
          <w:tcPr>
            <w:tcW w:type="dxa" w:w="3168"/>
            <w:shd w:fill="FFFFFF"/>
            <w:tcMar>
              <w:top w:w="70" w:type="dxa"/>
              <w:bottom w:w="70" w:type="dxa"/>
              <w:left w:w="100" w:type="dxa"/>
              <w:right w:w="100" w:type="dxa"/>
            </w:tcMar>
          </w:tcPr>
          <w:p>
            <w:pPr>
              <w:spacing w:after="0"/>
            </w:pPr>
            <w:r>
              <w:rPr>
                <w:rFonts w:ascii="Calibri" w:hAnsi="Calibri"/>
                <w:color w:val="0F172A"/>
                <w:sz w:val="18"/>
              </w:rPr>
              <w:t>Register for Event: Atomic seat reservation with immediate quota decrement.</w:t>
            </w:r>
          </w:p>
        </w:tc>
        <w:tc>
          <w:tcPr>
            <w:tcW w:type="dxa" w:w="1296"/>
            <w:shd w:fill="FFFFFF"/>
            <w:tcMar>
              <w:top w:w="70" w:type="dxa"/>
              <w:bottom w:w="70" w:type="dxa"/>
              <w:left w:w="100" w:type="dxa"/>
              <w:right w:w="100" w:type="dxa"/>
            </w:tcMar>
          </w:tcPr>
          <w:p>
            <w:pPr>
              <w:spacing w:after="0"/>
            </w:pPr>
            <w:r>
              <w:rPr>
                <w:rFonts w:ascii="Calibri" w:hAnsi="Calibri"/>
                <w:color w:val="0F172A"/>
                <w:sz w:val="18"/>
              </w:rPr>
              <w:t>Student</w:t>
            </w:r>
          </w:p>
        </w:tc>
        <w:tc>
          <w:tcPr>
            <w:tcW w:type="dxa" w:w="1296"/>
            <w:shd w:fill="FFFFFF"/>
            <w:tcMar>
              <w:top w:w="70" w:type="dxa"/>
              <w:bottom w:w="70" w:type="dxa"/>
              <w:left w:w="100" w:type="dxa"/>
              <w:right w:w="100" w:type="dxa"/>
            </w:tcMar>
          </w:tcPr>
          <w:p>
            <w:pPr>
              <w:spacing w:after="0"/>
            </w:pPr>
            <w:r>
              <w:rPr>
                <w:rFonts w:ascii="Calibri" w:hAnsi="Calibri"/>
                <w:color w:val="0F172A"/>
                <w:sz w:val="18"/>
              </w:rPr>
              <w:t>Must Have</w:t>
            </w:r>
          </w:p>
        </w:tc>
        <w:tc>
          <w:tcPr>
            <w:tcW w:type="dxa" w:w="2448"/>
            <w:shd w:fill="FFFFFF"/>
            <w:tcMar>
              <w:top w:w="70" w:type="dxa"/>
              <w:bottom w:w="70" w:type="dxa"/>
              <w:left w:w="100" w:type="dxa"/>
              <w:right w:w="100" w:type="dxa"/>
            </w:tcMar>
          </w:tcPr>
          <w:p>
            <w:pPr>
              <w:spacing w:after="0"/>
            </w:pPr>
            <w:r>
              <w:rPr>
                <w:rFonts w:ascii="Calibri" w:hAnsi="Calibri"/>
                <w:color w:val="0F172A"/>
                <w:sz w:val="18"/>
              </w:rPr>
              <w:t>POST /api/events/{id}/register (RegistrationService)</w:t>
            </w:r>
          </w:p>
        </w:tc>
      </w:tr>
      <w:tr>
        <w:tc>
          <w:tcPr>
            <w:tcW w:type="dxa" w:w="1152"/>
            <w:shd w:fill="F8FAFC"/>
            <w:tcMar>
              <w:top w:w="70" w:type="dxa"/>
              <w:bottom w:w="70" w:type="dxa"/>
              <w:left w:w="100" w:type="dxa"/>
              <w:right w:w="100" w:type="dxa"/>
            </w:tcMar>
          </w:tcPr>
          <w:p>
            <w:pPr>
              <w:spacing w:after="0"/>
            </w:pPr>
            <w:r>
              <w:rPr>
                <w:rFonts w:ascii="Calibri" w:hAnsi="Calibri"/>
                <w:color w:val="0F172A"/>
                <w:sz w:val="18"/>
              </w:rPr>
              <w:t>FR-04</w:t>
            </w:r>
          </w:p>
        </w:tc>
        <w:tc>
          <w:tcPr>
            <w:tcW w:type="dxa" w:w="3168"/>
            <w:shd w:fill="F8FAFC"/>
            <w:tcMar>
              <w:top w:w="70" w:type="dxa"/>
              <w:bottom w:w="70" w:type="dxa"/>
              <w:left w:w="100" w:type="dxa"/>
              <w:right w:w="100" w:type="dxa"/>
            </w:tcMar>
          </w:tcPr>
          <w:p>
            <w:pPr>
              <w:spacing w:after="0"/>
            </w:pPr>
            <w:r>
              <w:rPr>
                <w:rFonts w:ascii="Calibri" w:hAnsi="Calibri"/>
                <w:color w:val="0F172A"/>
                <w:sz w:val="18"/>
              </w:rPr>
              <w:t>Cancel Registration: Self-cancellation with immediate capacity restoration.</w:t>
            </w:r>
          </w:p>
        </w:tc>
        <w:tc>
          <w:tcPr>
            <w:tcW w:type="dxa" w:w="1296"/>
            <w:shd w:fill="F8FAFC"/>
            <w:tcMar>
              <w:top w:w="70" w:type="dxa"/>
              <w:bottom w:w="70" w:type="dxa"/>
              <w:left w:w="100" w:type="dxa"/>
              <w:right w:w="100" w:type="dxa"/>
            </w:tcMar>
          </w:tcPr>
          <w:p>
            <w:pPr>
              <w:spacing w:after="0"/>
            </w:pPr>
            <w:r>
              <w:rPr>
                <w:rFonts w:ascii="Calibri" w:hAnsi="Calibri"/>
                <w:color w:val="0F172A"/>
                <w:sz w:val="18"/>
              </w:rPr>
              <w:t>Student</w:t>
            </w:r>
          </w:p>
        </w:tc>
        <w:tc>
          <w:tcPr>
            <w:tcW w:type="dxa" w:w="1296"/>
            <w:shd w:fill="F8FAFC"/>
            <w:tcMar>
              <w:top w:w="70" w:type="dxa"/>
              <w:bottom w:w="70" w:type="dxa"/>
              <w:left w:w="100" w:type="dxa"/>
              <w:right w:w="100" w:type="dxa"/>
            </w:tcMar>
          </w:tcPr>
          <w:p>
            <w:pPr>
              <w:spacing w:after="0"/>
            </w:pPr>
            <w:r>
              <w:rPr>
                <w:rFonts w:ascii="Calibri" w:hAnsi="Calibri"/>
                <w:color w:val="0F172A"/>
                <w:sz w:val="18"/>
              </w:rPr>
              <w:t>Must Have</w:t>
            </w:r>
          </w:p>
        </w:tc>
        <w:tc>
          <w:tcPr>
            <w:tcW w:type="dxa" w:w="2448"/>
            <w:shd w:fill="F8FAFC"/>
            <w:tcMar>
              <w:top w:w="70" w:type="dxa"/>
              <w:bottom w:w="70" w:type="dxa"/>
              <w:left w:w="100" w:type="dxa"/>
              <w:right w:w="100" w:type="dxa"/>
            </w:tcMar>
          </w:tcPr>
          <w:p>
            <w:pPr>
              <w:spacing w:after="0"/>
            </w:pPr>
            <w:r>
              <w:rPr>
                <w:rFonts w:ascii="Calibri" w:hAnsi="Calibri"/>
                <w:color w:val="0F172A"/>
                <w:sz w:val="18"/>
              </w:rPr>
              <w:t>DELETE /api/registrations/{id} (RegistrationService)</w:t>
            </w:r>
          </w:p>
        </w:tc>
      </w:tr>
      <w:tr>
        <w:tc>
          <w:tcPr>
            <w:tcW w:type="dxa" w:w="1152"/>
            <w:shd w:fill="FFFFFF"/>
            <w:tcMar>
              <w:top w:w="70" w:type="dxa"/>
              <w:bottom w:w="70" w:type="dxa"/>
              <w:left w:w="100" w:type="dxa"/>
              <w:right w:w="100" w:type="dxa"/>
            </w:tcMar>
          </w:tcPr>
          <w:p>
            <w:pPr>
              <w:spacing w:after="0"/>
            </w:pPr>
            <w:r>
              <w:rPr>
                <w:rFonts w:ascii="Calibri" w:hAnsi="Calibri"/>
                <w:color w:val="0F172A"/>
                <w:sz w:val="18"/>
              </w:rPr>
              <w:t>FR-05</w:t>
            </w:r>
          </w:p>
        </w:tc>
        <w:tc>
          <w:tcPr>
            <w:tcW w:type="dxa" w:w="3168"/>
            <w:shd w:fill="FFFFFF"/>
            <w:tcMar>
              <w:top w:w="70" w:type="dxa"/>
              <w:bottom w:w="70" w:type="dxa"/>
              <w:left w:w="100" w:type="dxa"/>
              <w:right w:w="100" w:type="dxa"/>
            </w:tcMar>
          </w:tcPr>
          <w:p>
            <w:pPr>
              <w:spacing w:after="0"/>
            </w:pPr>
            <w:r>
              <w:rPr>
                <w:rFonts w:ascii="Calibri" w:hAnsi="Calibri"/>
                <w:color w:val="0F172A"/>
                <w:sz w:val="18"/>
              </w:rPr>
              <w:t>View Personal Registrations: View personal confirmed and cancelled booking history.</w:t>
            </w:r>
          </w:p>
        </w:tc>
        <w:tc>
          <w:tcPr>
            <w:tcW w:type="dxa" w:w="1296"/>
            <w:shd w:fill="FFFFFF"/>
            <w:tcMar>
              <w:top w:w="70" w:type="dxa"/>
              <w:bottom w:w="70" w:type="dxa"/>
              <w:left w:w="100" w:type="dxa"/>
              <w:right w:w="100" w:type="dxa"/>
            </w:tcMar>
          </w:tcPr>
          <w:p>
            <w:pPr>
              <w:spacing w:after="0"/>
            </w:pPr>
            <w:r>
              <w:rPr>
                <w:rFonts w:ascii="Calibri" w:hAnsi="Calibri"/>
                <w:color w:val="0F172A"/>
                <w:sz w:val="18"/>
              </w:rPr>
              <w:t>Student</w:t>
            </w:r>
          </w:p>
        </w:tc>
        <w:tc>
          <w:tcPr>
            <w:tcW w:type="dxa" w:w="1296"/>
            <w:shd w:fill="FFFFFF"/>
            <w:tcMar>
              <w:top w:w="70" w:type="dxa"/>
              <w:bottom w:w="70" w:type="dxa"/>
              <w:left w:w="100" w:type="dxa"/>
              <w:right w:w="100" w:type="dxa"/>
            </w:tcMar>
          </w:tcPr>
          <w:p>
            <w:pPr>
              <w:spacing w:after="0"/>
            </w:pPr>
            <w:r>
              <w:rPr>
                <w:rFonts w:ascii="Calibri" w:hAnsi="Calibri"/>
                <w:color w:val="0F172A"/>
                <w:sz w:val="18"/>
              </w:rPr>
              <w:t>Must Have</w:t>
            </w:r>
          </w:p>
        </w:tc>
        <w:tc>
          <w:tcPr>
            <w:tcW w:type="dxa" w:w="2448"/>
            <w:shd w:fill="FFFFFF"/>
            <w:tcMar>
              <w:top w:w="70" w:type="dxa"/>
              <w:bottom w:w="70" w:type="dxa"/>
              <w:left w:w="100" w:type="dxa"/>
              <w:right w:w="100" w:type="dxa"/>
            </w:tcMar>
          </w:tcPr>
          <w:p>
            <w:pPr>
              <w:spacing w:after="0"/>
            </w:pPr>
            <w:r>
              <w:rPr>
                <w:rFonts w:ascii="Calibri" w:hAnsi="Calibri"/>
                <w:color w:val="0F172A"/>
                <w:sz w:val="18"/>
              </w:rPr>
              <w:t>GET /api/registrations/me (RegistrationService)</w:t>
            </w:r>
          </w:p>
        </w:tc>
      </w:tr>
      <w:tr>
        <w:tc>
          <w:tcPr>
            <w:tcW w:type="dxa" w:w="1152"/>
            <w:shd w:fill="F8FAFC"/>
            <w:tcMar>
              <w:top w:w="70" w:type="dxa"/>
              <w:bottom w:w="70" w:type="dxa"/>
              <w:left w:w="100" w:type="dxa"/>
              <w:right w:w="100" w:type="dxa"/>
            </w:tcMar>
          </w:tcPr>
          <w:p>
            <w:pPr>
              <w:spacing w:after="0"/>
            </w:pPr>
            <w:r>
              <w:rPr>
                <w:rFonts w:ascii="Calibri" w:hAnsi="Calibri"/>
                <w:color w:val="0F172A"/>
                <w:sz w:val="18"/>
              </w:rPr>
              <w:t>FR-06</w:t>
            </w:r>
          </w:p>
        </w:tc>
        <w:tc>
          <w:tcPr>
            <w:tcW w:type="dxa" w:w="3168"/>
            <w:shd w:fill="F8FAFC"/>
            <w:tcMar>
              <w:top w:w="70" w:type="dxa"/>
              <w:bottom w:w="70" w:type="dxa"/>
              <w:left w:w="100" w:type="dxa"/>
              <w:right w:w="100" w:type="dxa"/>
            </w:tcMar>
          </w:tcPr>
          <w:p>
            <w:pPr>
              <w:spacing w:after="0"/>
            </w:pPr>
            <w:r>
              <w:rPr>
                <w:rFonts w:ascii="Calibri" w:hAnsi="Calibri"/>
                <w:color w:val="0F172A"/>
                <w:sz w:val="18"/>
              </w:rPr>
              <w:t>Create Event: Publish events with venue, dates, times, and participant limit.</w:t>
            </w:r>
          </w:p>
        </w:tc>
        <w:tc>
          <w:tcPr>
            <w:tcW w:type="dxa" w:w="1296"/>
            <w:shd w:fill="F8FAFC"/>
            <w:tcMar>
              <w:top w:w="70" w:type="dxa"/>
              <w:bottom w:w="70" w:type="dxa"/>
              <w:left w:w="100" w:type="dxa"/>
              <w:right w:w="100" w:type="dxa"/>
            </w:tcMar>
          </w:tcPr>
          <w:p>
            <w:pPr>
              <w:spacing w:after="0"/>
            </w:pPr>
            <w:r>
              <w:rPr>
                <w:rFonts w:ascii="Calibri" w:hAnsi="Calibri"/>
                <w:color w:val="0F172A"/>
                <w:sz w:val="18"/>
              </w:rPr>
              <w:t>Faculty</w:t>
            </w:r>
          </w:p>
        </w:tc>
        <w:tc>
          <w:tcPr>
            <w:tcW w:type="dxa" w:w="1296"/>
            <w:shd w:fill="F8FAFC"/>
            <w:tcMar>
              <w:top w:w="70" w:type="dxa"/>
              <w:bottom w:w="70" w:type="dxa"/>
              <w:left w:w="100" w:type="dxa"/>
              <w:right w:w="100" w:type="dxa"/>
            </w:tcMar>
          </w:tcPr>
          <w:p>
            <w:pPr>
              <w:spacing w:after="0"/>
            </w:pPr>
            <w:r>
              <w:rPr>
                <w:rFonts w:ascii="Calibri" w:hAnsi="Calibri"/>
                <w:color w:val="0F172A"/>
                <w:sz w:val="18"/>
              </w:rPr>
              <w:t>Must Have</w:t>
            </w:r>
          </w:p>
        </w:tc>
        <w:tc>
          <w:tcPr>
            <w:tcW w:type="dxa" w:w="2448"/>
            <w:shd w:fill="F8FAFC"/>
            <w:tcMar>
              <w:top w:w="70" w:type="dxa"/>
              <w:bottom w:w="70" w:type="dxa"/>
              <w:left w:w="100" w:type="dxa"/>
              <w:right w:w="100" w:type="dxa"/>
            </w:tcMar>
          </w:tcPr>
          <w:p>
            <w:pPr>
              <w:spacing w:after="0"/>
            </w:pPr>
            <w:r>
              <w:rPr>
                <w:rFonts w:ascii="Calibri" w:hAnsi="Calibri"/>
                <w:color w:val="0F172A"/>
                <w:sz w:val="18"/>
              </w:rPr>
              <w:t>POST /api/events (EventService.create_event)</w:t>
            </w:r>
          </w:p>
        </w:tc>
      </w:tr>
      <w:tr>
        <w:tc>
          <w:tcPr>
            <w:tcW w:type="dxa" w:w="1152"/>
            <w:shd w:fill="FFFFFF"/>
            <w:tcMar>
              <w:top w:w="70" w:type="dxa"/>
              <w:bottom w:w="70" w:type="dxa"/>
              <w:left w:w="100" w:type="dxa"/>
              <w:right w:w="100" w:type="dxa"/>
            </w:tcMar>
          </w:tcPr>
          <w:p>
            <w:pPr>
              <w:spacing w:after="0"/>
            </w:pPr>
            <w:r>
              <w:rPr>
                <w:rFonts w:ascii="Calibri" w:hAnsi="Calibri"/>
                <w:color w:val="0F172A"/>
                <w:sz w:val="18"/>
              </w:rPr>
              <w:t>FR-07</w:t>
            </w:r>
          </w:p>
        </w:tc>
        <w:tc>
          <w:tcPr>
            <w:tcW w:type="dxa" w:w="3168"/>
            <w:shd w:fill="FFFFFF"/>
            <w:tcMar>
              <w:top w:w="70" w:type="dxa"/>
              <w:bottom w:w="70" w:type="dxa"/>
              <w:left w:w="100" w:type="dxa"/>
              <w:right w:w="100" w:type="dxa"/>
            </w:tcMar>
          </w:tcPr>
          <w:p>
            <w:pPr>
              <w:spacing w:after="0"/>
            </w:pPr>
            <w:r>
              <w:rPr>
                <w:rFonts w:ascii="Calibri" w:hAnsi="Calibri"/>
                <w:color w:val="0F172A"/>
                <w:sz w:val="18"/>
              </w:rPr>
              <w:t>Set Participant Limit: Enforce positive integer limit and registration deadline.</w:t>
            </w:r>
          </w:p>
        </w:tc>
        <w:tc>
          <w:tcPr>
            <w:tcW w:type="dxa" w:w="1296"/>
            <w:shd w:fill="FFFFFF"/>
            <w:tcMar>
              <w:top w:w="70" w:type="dxa"/>
              <w:bottom w:w="70" w:type="dxa"/>
              <w:left w:w="100" w:type="dxa"/>
              <w:right w:w="100" w:type="dxa"/>
            </w:tcMar>
          </w:tcPr>
          <w:p>
            <w:pPr>
              <w:spacing w:after="0"/>
            </w:pPr>
            <w:r>
              <w:rPr>
                <w:rFonts w:ascii="Calibri" w:hAnsi="Calibri"/>
                <w:color w:val="0F172A"/>
                <w:sz w:val="18"/>
              </w:rPr>
              <w:t>Faculty</w:t>
            </w:r>
          </w:p>
        </w:tc>
        <w:tc>
          <w:tcPr>
            <w:tcW w:type="dxa" w:w="1296"/>
            <w:shd w:fill="FFFFFF"/>
            <w:tcMar>
              <w:top w:w="70" w:type="dxa"/>
              <w:bottom w:w="70" w:type="dxa"/>
              <w:left w:w="100" w:type="dxa"/>
              <w:right w:w="100" w:type="dxa"/>
            </w:tcMar>
          </w:tcPr>
          <w:p>
            <w:pPr>
              <w:spacing w:after="0"/>
            </w:pPr>
            <w:r>
              <w:rPr>
                <w:rFonts w:ascii="Calibri" w:hAnsi="Calibri"/>
                <w:color w:val="0F172A"/>
                <w:sz w:val="18"/>
              </w:rPr>
              <w:t>Must Have</w:t>
            </w:r>
          </w:p>
        </w:tc>
        <w:tc>
          <w:tcPr>
            <w:tcW w:type="dxa" w:w="2448"/>
            <w:shd w:fill="FFFFFF"/>
            <w:tcMar>
              <w:top w:w="70" w:type="dxa"/>
              <w:bottom w:w="70" w:type="dxa"/>
              <w:left w:w="100" w:type="dxa"/>
              <w:right w:w="100" w:type="dxa"/>
            </w:tcMar>
          </w:tcPr>
          <w:p>
            <w:pPr>
              <w:spacing w:after="0"/>
            </w:pPr>
            <w:r>
              <w:rPr>
                <w:rFonts w:ascii="Calibri" w:hAnsi="Calibri"/>
                <w:color w:val="0F172A"/>
                <w:sz w:val="18"/>
              </w:rPr>
              <w:t>Pydantic Schemas &amp; DB Check Constraints</w:t>
            </w:r>
          </w:p>
        </w:tc>
      </w:tr>
      <w:tr>
        <w:tc>
          <w:tcPr>
            <w:tcW w:type="dxa" w:w="1152"/>
            <w:shd w:fill="F8FAFC"/>
            <w:tcMar>
              <w:top w:w="70" w:type="dxa"/>
              <w:bottom w:w="70" w:type="dxa"/>
              <w:left w:w="100" w:type="dxa"/>
              <w:right w:w="100" w:type="dxa"/>
            </w:tcMar>
          </w:tcPr>
          <w:p>
            <w:pPr>
              <w:spacing w:after="0"/>
            </w:pPr>
            <w:r>
              <w:rPr>
                <w:rFonts w:ascii="Calibri" w:hAnsi="Calibri"/>
                <w:color w:val="0F172A"/>
                <w:sz w:val="18"/>
              </w:rPr>
              <w:t>FR-08</w:t>
            </w:r>
          </w:p>
        </w:tc>
        <w:tc>
          <w:tcPr>
            <w:tcW w:type="dxa" w:w="3168"/>
            <w:shd w:fill="F8FAFC"/>
            <w:tcMar>
              <w:top w:w="70" w:type="dxa"/>
              <w:bottom w:w="70" w:type="dxa"/>
              <w:left w:w="100" w:type="dxa"/>
              <w:right w:w="100" w:type="dxa"/>
            </w:tcMar>
          </w:tcPr>
          <w:p>
            <w:pPr>
              <w:spacing w:after="0"/>
            </w:pPr>
            <w:r>
              <w:rPr>
                <w:rFonts w:ascii="Calibri" w:hAnsi="Calibri"/>
                <w:color w:val="0F172A"/>
                <w:sz w:val="18"/>
              </w:rPr>
              <w:t>View Registered Participants: Inspect attendee roster strictly for own events.</w:t>
            </w:r>
          </w:p>
        </w:tc>
        <w:tc>
          <w:tcPr>
            <w:tcW w:type="dxa" w:w="1296"/>
            <w:shd w:fill="F8FAFC"/>
            <w:tcMar>
              <w:top w:w="70" w:type="dxa"/>
              <w:bottom w:w="70" w:type="dxa"/>
              <w:left w:w="100" w:type="dxa"/>
              <w:right w:w="100" w:type="dxa"/>
            </w:tcMar>
          </w:tcPr>
          <w:p>
            <w:pPr>
              <w:spacing w:after="0"/>
            </w:pPr>
            <w:r>
              <w:rPr>
                <w:rFonts w:ascii="Calibri" w:hAnsi="Calibri"/>
                <w:color w:val="0F172A"/>
                <w:sz w:val="18"/>
              </w:rPr>
              <w:t>Faculty</w:t>
            </w:r>
          </w:p>
        </w:tc>
        <w:tc>
          <w:tcPr>
            <w:tcW w:type="dxa" w:w="1296"/>
            <w:shd w:fill="F8FAFC"/>
            <w:tcMar>
              <w:top w:w="70" w:type="dxa"/>
              <w:bottom w:w="70" w:type="dxa"/>
              <w:left w:w="100" w:type="dxa"/>
              <w:right w:w="100" w:type="dxa"/>
            </w:tcMar>
          </w:tcPr>
          <w:p>
            <w:pPr>
              <w:spacing w:after="0"/>
            </w:pPr>
            <w:r>
              <w:rPr>
                <w:rFonts w:ascii="Calibri" w:hAnsi="Calibri"/>
                <w:color w:val="0F172A"/>
                <w:sz w:val="18"/>
              </w:rPr>
              <w:t>Must Have</w:t>
            </w:r>
          </w:p>
        </w:tc>
        <w:tc>
          <w:tcPr>
            <w:tcW w:type="dxa" w:w="2448"/>
            <w:shd w:fill="F8FAFC"/>
            <w:tcMar>
              <w:top w:w="70" w:type="dxa"/>
              <w:bottom w:w="70" w:type="dxa"/>
              <w:left w:w="100" w:type="dxa"/>
              <w:right w:w="100" w:type="dxa"/>
            </w:tcMar>
          </w:tcPr>
          <w:p>
            <w:pPr>
              <w:spacing w:after="0"/>
            </w:pPr>
            <w:r>
              <w:rPr>
                <w:rFonts w:ascii="Calibri" w:hAnsi="Calibri"/>
                <w:color w:val="0F172A"/>
                <w:sz w:val="18"/>
              </w:rPr>
              <w:t>GET /api/events/{id}/participants (RegistrationService)</w:t>
            </w:r>
          </w:p>
        </w:tc>
      </w:tr>
      <w:tr>
        <w:tc>
          <w:tcPr>
            <w:tcW w:type="dxa" w:w="1152"/>
            <w:shd w:fill="FFFFFF"/>
            <w:tcMar>
              <w:top w:w="70" w:type="dxa"/>
              <w:bottom w:w="70" w:type="dxa"/>
              <w:left w:w="100" w:type="dxa"/>
              <w:right w:w="100" w:type="dxa"/>
            </w:tcMar>
          </w:tcPr>
          <w:p>
            <w:pPr>
              <w:spacing w:after="0"/>
            </w:pPr>
            <w:r>
              <w:rPr>
                <w:rFonts w:ascii="Calibri" w:hAnsi="Calibri"/>
                <w:color w:val="0F172A"/>
                <w:sz w:val="18"/>
              </w:rPr>
              <w:t>FR-09</w:t>
            </w:r>
          </w:p>
        </w:tc>
        <w:tc>
          <w:tcPr>
            <w:tcW w:type="dxa" w:w="3168"/>
            <w:shd w:fill="FFFFFF"/>
            <w:tcMar>
              <w:top w:w="70" w:type="dxa"/>
              <w:bottom w:w="70" w:type="dxa"/>
              <w:left w:w="100" w:type="dxa"/>
              <w:right w:w="100" w:type="dxa"/>
            </w:tcMar>
          </w:tcPr>
          <w:p>
            <w:pPr>
              <w:spacing w:after="0"/>
            </w:pPr>
            <w:r>
              <w:rPr>
                <w:rFonts w:ascii="Calibri" w:hAnsi="Calibri"/>
                <w:color w:val="0F172A"/>
                <w:sz w:val="18"/>
              </w:rPr>
              <w:t>Close Registration: Terminate registration early prior to event start date.</w:t>
            </w:r>
          </w:p>
        </w:tc>
        <w:tc>
          <w:tcPr>
            <w:tcW w:type="dxa" w:w="1296"/>
            <w:shd w:fill="FFFFFF"/>
            <w:tcMar>
              <w:top w:w="70" w:type="dxa"/>
              <w:bottom w:w="70" w:type="dxa"/>
              <w:left w:w="100" w:type="dxa"/>
              <w:right w:w="100" w:type="dxa"/>
            </w:tcMar>
          </w:tcPr>
          <w:p>
            <w:pPr>
              <w:spacing w:after="0"/>
            </w:pPr>
            <w:r>
              <w:rPr>
                <w:rFonts w:ascii="Calibri" w:hAnsi="Calibri"/>
                <w:color w:val="0F172A"/>
                <w:sz w:val="18"/>
              </w:rPr>
              <w:t>Faculty</w:t>
            </w:r>
          </w:p>
        </w:tc>
        <w:tc>
          <w:tcPr>
            <w:tcW w:type="dxa" w:w="1296"/>
            <w:shd w:fill="FFFFFF"/>
            <w:tcMar>
              <w:top w:w="70" w:type="dxa"/>
              <w:bottom w:w="70" w:type="dxa"/>
              <w:left w:w="100" w:type="dxa"/>
              <w:right w:w="100" w:type="dxa"/>
            </w:tcMar>
          </w:tcPr>
          <w:p>
            <w:pPr>
              <w:spacing w:after="0"/>
            </w:pPr>
            <w:r>
              <w:rPr>
                <w:rFonts w:ascii="Calibri" w:hAnsi="Calibri"/>
                <w:color w:val="0F172A"/>
                <w:sz w:val="18"/>
              </w:rPr>
              <w:t>Must Have</w:t>
            </w:r>
          </w:p>
        </w:tc>
        <w:tc>
          <w:tcPr>
            <w:tcW w:type="dxa" w:w="2448"/>
            <w:shd w:fill="FFFFFF"/>
            <w:tcMar>
              <w:top w:w="70" w:type="dxa"/>
              <w:bottom w:w="70" w:type="dxa"/>
              <w:left w:w="100" w:type="dxa"/>
              <w:right w:w="100" w:type="dxa"/>
            </w:tcMar>
          </w:tcPr>
          <w:p>
            <w:pPr>
              <w:spacing w:after="0"/>
            </w:pPr>
            <w:r>
              <w:rPr>
                <w:rFonts w:ascii="Calibri" w:hAnsi="Calibri"/>
                <w:color w:val="0F172A"/>
                <w:sz w:val="18"/>
              </w:rPr>
              <w:t>POST /api/events/{id}/close (EventService.close_event)</w:t>
            </w:r>
          </w:p>
        </w:tc>
      </w:tr>
      <w:tr>
        <w:tc>
          <w:tcPr>
            <w:tcW w:type="dxa" w:w="1152"/>
            <w:shd w:fill="F8FAFC"/>
            <w:tcMar>
              <w:top w:w="70" w:type="dxa"/>
              <w:bottom w:w="70" w:type="dxa"/>
              <w:left w:w="100" w:type="dxa"/>
              <w:right w:w="100" w:type="dxa"/>
            </w:tcMar>
          </w:tcPr>
          <w:p>
            <w:pPr>
              <w:spacing w:after="0"/>
            </w:pPr>
            <w:r>
              <w:rPr>
                <w:rFonts w:ascii="Calibri" w:hAnsi="Calibri"/>
                <w:color w:val="0F172A"/>
                <w:sz w:val="18"/>
              </w:rPr>
              <w:t>FR-10</w:t>
            </w:r>
          </w:p>
        </w:tc>
        <w:tc>
          <w:tcPr>
            <w:tcW w:type="dxa" w:w="3168"/>
            <w:shd w:fill="F8FAFC"/>
            <w:tcMar>
              <w:top w:w="70" w:type="dxa"/>
              <w:bottom w:w="70" w:type="dxa"/>
              <w:left w:w="100" w:type="dxa"/>
              <w:right w:w="100" w:type="dxa"/>
            </w:tcMar>
          </w:tcPr>
          <w:p>
            <w:pPr>
              <w:spacing w:after="0"/>
            </w:pPr>
            <w:r>
              <w:rPr>
                <w:rFonts w:ascii="Calibri" w:hAnsi="Calibri"/>
                <w:color w:val="0F172A"/>
                <w:sz w:val="18"/>
              </w:rPr>
              <w:t>Authentication &amp; Session: Multi-role authentication with secure cookie session.</w:t>
            </w:r>
          </w:p>
        </w:tc>
        <w:tc>
          <w:tcPr>
            <w:tcW w:type="dxa" w:w="1296"/>
            <w:shd w:fill="F8FAFC"/>
            <w:tcMar>
              <w:top w:w="70" w:type="dxa"/>
              <w:bottom w:w="70" w:type="dxa"/>
              <w:left w:w="100" w:type="dxa"/>
              <w:right w:w="100" w:type="dxa"/>
            </w:tcMar>
          </w:tcPr>
          <w:p>
            <w:pPr>
              <w:spacing w:after="0"/>
            </w:pPr>
            <w:r>
              <w:rPr>
                <w:rFonts w:ascii="Calibri" w:hAnsi="Calibri"/>
                <w:color w:val="0F172A"/>
                <w:sz w:val="18"/>
              </w:rPr>
              <w:t>All Roles</w:t>
            </w:r>
          </w:p>
        </w:tc>
        <w:tc>
          <w:tcPr>
            <w:tcW w:type="dxa" w:w="1296"/>
            <w:shd w:fill="F8FAFC"/>
            <w:tcMar>
              <w:top w:w="70" w:type="dxa"/>
              <w:bottom w:w="70" w:type="dxa"/>
              <w:left w:w="100" w:type="dxa"/>
              <w:right w:w="100" w:type="dxa"/>
            </w:tcMar>
          </w:tcPr>
          <w:p>
            <w:pPr>
              <w:spacing w:after="0"/>
            </w:pPr>
            <w:r>
              <w:rPr>
                <w:rFonts w:ascii="Calibri" w:hAnsi="Calibri"/>
                <w:color w:val="0F172A"/>
                <w:sz w:val="18"/>
              </w:rPr>
              <w:t>Must Have</w:t>
            </w:r>
          </w:p>
        </w:tc>
        <w:tc>
          <w:tcPr>
            <w:tcW w:type="dxa" w:w="2448"/>
            <w:shd w:fill="F8FAFC"/>
            <w:tcMar>
              <w:top w:w="70" w:type="dxa"/>
              <w:bottom w:w="70" w:type="dxa"/>
              <w:left w:w="100" w:type="dxa"/>
              <w:right w:w="100" w:type="dxa"/>
            </w:tcMar>
          </w:tcPr>
          <w:p>
            <w:pPr>
              <w:spacing w:after="0"/>
            </w:pPr>
            <w:r>
              <w:rPr>
                <w:rFonts w:ascii="Calibri" w:hAnsi="Calibri"/>
                <w:color w:val="0F172A"/>
                <w:sz w:val="18"/>
              </w:rPr>
              <w:t>POST /api/auth/login, /logout, /me (AuthService)</w:t>
            </w:r>
          </w:p>
        </w:tc>
      </w:tr>
      <w:tr>
        <w:tc>
          <w:tcPr>
            <w:tcW w:type="dxa" w:w="1152"/>
            <w:shd w:fill="FFFFFF"/>
            <w:tcMar>
              <w:top w:w="70" w:type="dxa"/>
              <w:bottom w:w="70" w:type="dxa"/>
              <w:left w:w="100" w:type="dxa"/>
              <w:right w:w="100" w:type="dxa"/>
            </w:tcMar>
          </w:tcPr>
          <w:p>
            <w:pPr>
              <w:spacing w:after="0"/>
            </w:pPr>
            <w:r>
              <w:rPr>
                <w:rFonts w:ascii="Calibri" w:hAnsi="Calibri"/>
                <w:color w:val="0F172A"/>
                <w:sz w:val="18"/>
              </w:rPr>
              <w:t>FR-11</w:t>
            </w:r>
          </w:p>
        </w:tc>
        <w:tc>
          <w:tcPr>
            <w:tcW w:type="dxa" w:w="3168"/>
            <w:shd w:fill="FFFFFF"/>
            <w:tcMar>
              <w:top w:w="70" w:type="dxa"/>
              <w:bottom w:w="70" w:type="dxa"/>
              <w:left w:w="100" w:type="dxa"/>
              <w:right w:w="100" w:type="dxa"/>
            </w:tcMar>
          </w:tcPr>
          <w:p>
            <w:pPr>
              <w:spacing w:after="0"/>
            </w:pPr>
            <w:r>
              <w:rPr>
                <w:rFonts w:ascii="Calibri" w:hAnsi="Calibri"/>
                <w:color w:val="0F172A"/>
                <w:sz w:val="18"/>
              </w:rPr>
              <w:t>System Administration: Supervise users, inspect statistics, and manage roles.</w:t>
            </w:r>
          </w:p>
        </w:tc>
        <w:tc>
          <w:tcPr>
            <w:tcW w:type="dxa" w:w="1296"/>
            <w:shd w:fill="FFFFFF"/>
            <w:tcMar>
              <w:top w:w="70" w:type="dxa"/>
              <w:bottom w:w="70" w:type="dxa"/>
              <w:left w:w="100" w:type="dxa"/>
              <w:right w:w="100" w:type="dxa"/>
            </w:tcMar>
          </w:tcPr>
          <w:p>
            <w:pPr>
              <w:spacing w:after="0"/>
            </w:pPr>
            <w:r>
              <w:rPr>
                <w:rFonts w:ascii="Calibri" w:hAnsi="Calibri"/>
                <w:color w:val="0F172A"/>
                <w:sz w:val="18"/>
              </w:rPr>
              <w:t>Admin</w:t>
            </w:r>
          </w:p>
        </w:tc>
        <w:tc>
          <w:tcPr>
            <w:tcW w:type="dxa" w:w="1296"/>
            <w:shd w:fill="FFFFFF"/>
            <w:tcMar>
              <w:top w:w="70" w:type="dxa"/>
              <w:bottom w:w="70" w:type="dxa"/>
              <w:left w:w="100" w:type="dxa"/>
              <w:right w:w="100" w:type="dxa"/>
            </w:tcMar>
          </w:tcPr>
          <w:p>
            <w:pPr>
              <w:spacing w:after="0"/>
            </w:pPr>
            <w:r>
              <w:rPr>
                <w:rFonts w:ascii="Calibri" w:hAnsi="Calibri"/>
                <w:color w:val="0F172A"/>
                <w:sz w:val="18"/>
              </w:rPr>
              <w:t>Must Have</w:t>
            </w:r>
          </w:p>
        </w:tc>
        <w:tc>
          <w:tcPr>
            <w:tcW w:type="dxa" w:w="2448"/>
            <w:shd w:fill="FFFFFF"/>
            <w:tcMar>
              <w:top w:w="70" w:type="dxa"/>
              <w:bottom w:w="70" w:type="dxa"/>
              <w:left w:w="100" w:type="dxa"/>
              <w:right w:w="100" w:type="dxa"/>
            </w:tcMar>
          </w:tcPr>
          <w:p>
            <w:pPr>
              <w:spacing w:after="0"/>
            </w:pPr>
            <w:r>
              <w:rPr>
                <w:rFonts w:ascii="Calibri" w:hAnsi="Calibri"/>
                <w:color w:val="0F172A"/>
                <w:sz w:val="18"/>
              </w:rPr>
              <w:t>GET /api/admin/users, /system-stats (AdminService)</w:t>
            </w:r>
          </w:p>
        </w:tc>
      </w:tr>
      <w:tr>
        <w:tc>
          <w:tcPr>
            <w:tcW w:type="dxa" w:w="1152"/>
            <w:shd w:fill="F8FAFC"/>
            <w:tcMar>
              <w:top w:w="70" w:type="dxa"/>
              <w:bottom w:w="70" w:type="dxa"/>
              <w:left w:w="100" w:type="dxa"/>
              <w:right w:w="100" w:type="dxa"/>
            </w:tcMar>
          </w:tcPr>
          <w:p>
            <w:pPr>
              <w:spacing w:after="0"/>
            </w:pPr>
            <w:r>
              <w:rPr>
                <w:rFonts w:ascii="Calibri" w:hAnsi="Calibri"/>
                <w:color w:val="0F172A"/>
                <w:sz w:val="18"/>
              </w:rPr>
              <w:t>FR-12</w:t>
            </w:r>
          </w:p>
        </w:tc>
        <w:tc>
          <w:tcPr>
            <w:tcW w:type="dxa" w:w="3168"/>
            <w:shd w:fill="F8FAFC"/>
            <w:tcMar>
              <w:top w:w="70" w:type="dxa"/>
              <w:bottom w:w="70" w:type="dxa"/>
              <w:left w:w="100" w:type="dxa"/>
              <w:right w:w="100" w:type="dxa"/>
            </w:tcMar>
          </w:tcPr>
          <w:p>
            <w:pPr>
              <w:spacing w:after="0"/>
            </w:pPr>
            <w:r>
              <w:rPr>
                <w:rFonts w:ascii="Calibri" w:hAnsi="Calibri"/>
                <w:color w:val="0F172A"/>
                <w:sz w:val="18"/>
              </w:rPr>
              <w:t>Health Monitoring: Expose readiness and liveness status for container probes.</w:t>
            </w:r>
          </w:p>
        </w:tc>
        <w:tc>
          <w:tcPr>
            <w:tcW w:type="dxa" w:w="1296"/>
            <w:shd w:fill="F8FAFC"/>
            <w:tcMar>
              <w:top w:w="70" w:type="dxa"/>
              <w:bottom w:w="70" w:type="dxa"/>
              <w:left w:w="100" w:type="dxa"/>
              <w:right w:w="100" w:type="dxa"/>
            </w:tcMar>
          </w:tcPr>
          <w:p>
            <w:pPr>
              <w:spacing w:after="0"/>
            </w:pPr>
            <w:r>
              <w:rPr>
                <w:rFonts w:ascii="Calibri" w:hAnsi="Calibri"/>
                <w:color w:val="0F172A"/>
                <w:sz w:val="18"/>
              </w:rPr>
              <w:t>System</w:t>
            </w:r>
          </w:p>
        </w:tc>
        <w:tc>
          <w:tcPr>
            <w:tcW w:type="dxa" w:w="1296"/>
            <w:shd w:fill="F8FAFC"/>
            <w:tcMar>
              <w:top w:w="70" w:type="dxa"/>
              <w:bottom w:w="70" w:type="dxa"/>
              <w:left w:w="100" w:type="dxa"/>
              <w:right w:w="100" w:type="dxa"/>
            </w:tcMar>
          </w:tcPr>
          <w:p>
            <w:pPr>
              <w:spacing w:after="0"/>
            </w:pPr>
            <w:r>
              <w:rPr>
                <w:rFonts w:ascii="Calibri" w:hAnsi="Calibri"/>
                <w:color w:val="0F172A"/>
                <w:sz w:val="18"/>
              </w:rPr>
              <w:t>Must Have</w:t>
            </w:r>
          </w:p>
        </w:tc>
        <w:tc>
          <w:tcPr>
            <w:tcW w:type="dxa" w:w="2448"/>
            <w:shd w:fill="F8FAFC"/>
            <w:tcMar>
              <w:top w:w="70" w:type="dxa"/>
              <w:bottom w:w="70" w:type="dxa"/>
              <w:left w:w="100" w:type="dxa"/>
              <w:right w:w="100" w:type="dxa"/>
            </w:tcMar>
          </w:tcPr>
          <w:p>
            <w:pPr>
              <w:spacing w:after="0"/>
            </w:pPr>
            <w:r>
              <w:rPr>
                <w:rFonts w:ascii="Calibri" w:hAnsi="Calibri"/>
                <w:color w:val="0F172A"/>
                <w:sz w:val="18"/>
              </w:rPr>
              <w:t>GET /health (HealthRouter)</w:t>
            </w:r>
          </w:p>
        </w:tc>
      </w:tr>
    </w:tbl>
    <w:p>
      <w:pPr>
        <w:spacing w:after="160"/>
      </w:pPr>
    </w:p>
    <w:p>
      <w:pPr>
        <w:keepNext/>
        <w:spacing w:before="320" w:after="120"/>
      </w:pPr>
      <w:r>
        <w:rPr>
          <w:rFonts w:ascii="Arial" w:hAnsi="Arial"/>
          <w:b/>
          <w:color w:val="1E3A8A"/>
          <w:sz w:val="30"/>
        </w:rPr>
        <w:t>5. Non-Functional Requirements (NFR)</w:t>
      </w:r>
    </w:p>
    <w:tbl>
      <w:tblPr>
        <w:tblW w:type="auto" w:w="0"/>
        <w:jc w:val="center"/>
        <w:tblLook w:firstColumn="1" w:firstRow="1" w:lastColumn="0" w:lastRow="0" w:noHBand="0" w:noVBand="1" w:val="04A0"/>
      </w:tblPr>
      <w:tblGrid>
        <w:gridCol w:w="2340"/>
        <w:gridCol w:w="2340"/>
        <w:gridCol w:w="2340"/>
        <w:gridCol w:w="2340"/>
      </w:tblGrid>
      <w:tr>
        <w:tc>
          <w:tcPr>
            <w:tcW w:type="dxa" w:w="1296"/>
            <w:shd w:fill="1E3A8A"/>
            <w:tcMar>
              <w:top w:w="100" w:type="dxa"/>
              <w:bottom w:w="100" w:type="dxa"/>
              <w:left w:w="120" w:type="dxa"/>
              <w:right w:w="120" w:type="dxa"/>
            </w:tcMar>
          </w:tcPr>
          <w:p>
            <w:pPr>
              <w:spacing w:after="0"/>
            </w:pPr>
            <w:r>
              <w:rPr>
                <w:rFonts w:ascii="Calibri" w:hAnsi="Calibri"/>
                <w:b/>
                <w:color w:val="FFFFFF"/>
                <w:sz w:val="19"/>
              </w:rPr>
              <w:t>NFR ID</w:t>
            </w:r>
          </w:p>
        </w:tc>
        <w:tc>
          <w:tcPr>
            <w:tcW w:type="dxa" w:w="1728"/>
            <w:shd w:fill="1E3A8A"/>
            <w:tcMar>
              <w:top w:w="100" w:type="dxa"/>
              <w:bottom w:w="100" w:type="dxa"/>
              <w:left w:w="120" w:type="dxa"/>
              <w:right w:w="120" w:type="dxa"/>
            </w:tcMar>
          </w:tcPr>
          <w:p>
            <w:pPr>
              <w:spacing w:after="0"/>
            </w:pPr>
            <w:r>
              <w:rPr>
                <w:rFonts w:ascii="Calibri" w:hAnsi="Calibri"/>
                <w:b/>
                <w:color w:val="FFFFFF"/>
                <w:sz w:val="19"/>
              </w:rPr>
              <w:t>Category</w:t>
            </w:r>
          </w:p>
        </w:tc>
        <w:tc>
          <w:tcPr>
            <w:tcW w:type="dxa" w:w="3456"/>
            <w:shd w:fill="1E3A8A"/>
            <w:tcMar>
              <w:top w:w="100" w:type="dxa"/>
              <w:bottom w:w="100" w:type="dxa"/>
              <w:left w:w="120" w:type="dxa"/>
              <w:right w:w="120" w:type="dxa"/>
            </w:tcMar>
          </w:tcPr>
          <w:p>
            <w:pPr>
              <w:spacing w:after="0"/>
            </w:pPr>
            <w:r>
              <w:rPr>
                <w:rFonts w:ascii="Calibri" w:hAnsi="Calibri"/>
                <w:b/>
                <w:color w:val="FFFFFF"/>
                <w:sz w:val="19"/>
              </w:rPr>
              <w:t>Quantitative Specification</w:t>
            </w:r>
          </w:p>
        </w:tc>
        <w:tc>
          <w:tcPr>
            <w:tcW w:type="dxa" w:w="2880"/>
            <w:shd w:fill="1E3A8A"/>
            <w:tcMar>
              <w:top w:w="100" w:type="dxa"/>
              <w:bottom w:w="100" w:type="dxa"/>
              <w:left w:w="120" w:type="dxa"/>
              <w:right w:w="120" w:type="dxa"/>
            </w:tcMar>
          </w:tcPr>
          <w:p>
            <w:pPr>
              <w:spacing w:after="0"/>
            </w:pPr>
            <w:r>
              <w:rPr>
                <w:rFonts w:ascii="Calibri" w:hAnsi="Calibri"/>
                <w:b/>
                <w:color w:val="FFFFFF"/>
                <w:sz w:val="19"/>
              </w:rPr>
              <w:t>Verification Metric</w:t>
            </w:r>
          </w:p>
        </w:tc>
      </w:tr>
      <w:tr>
        <w:tc>
          <w:tcPr>
            <w:tcW w:type="dxa" w:w="1296"/>
            <w:shd w:fill="FFFFFF"/>
            <w:tcMar>
              <w:top w:w="70" w:type="dxa"/>
              <w:bottom w:w="70" w:type="dxa"/>
              <w:left w:w="100" w:type="dxa"/>
              <w:right w:w="100" w:type="dxa"/>
            </w:tcMar>
          </w:tcPr>
          <w:p>
            <w:pPr>
              <w:spacing w:after="0"/>
            </w:pPr>
            <w:r>
              <w:rPr>
                <w:rFonts w:ascii="Calibri" w:hAnsi="Calibri"/>
                <w:color w:val="0F172A"/>
                <w:sz w:val="18"/>
              </w:rPr>
              <w:t>NFR-01</w:t>
            </w:r>
          </w:p>
        </w:tc>
        <w:tc>
          <w:tcPr>
            <w:tcW w:type="dxa" w:w="1728"/>
            <w:shd w:fill="FFFFFF"/>
            <w:tcMar>
              <w:top w:w="70" w:type="dxa"/>
              <w:bottom w:w="70" w:type="dxa"/>
              <w:left w:w="100" w:type="dxa"/>
              <w:right w:w="100" w:type="dxa"/>
            </w:tcMar>
          </w:tcPr>
          <w:p>
            <w:pPr>
              <w:spacing w:after="0"/>
            </w:pPr>
            <w:r>
              <w:rPr>
                <w:rFonts w:ascii="Calibri" w:hAnsi="Calibri"/>
                <w:color w:val="0F172A"/>
                <w:sz w:val="18"/>
              </w:rPr>
              <w:t>Performance</w:t>
            </w:r>
          </w:p>
        </w:tc>
        <w:tc>
          <w:tcPr>
            <w:tcW w:type="dxa" w:w="3456"/>
            <w:shd w:fill="FFFFFF"/>
            <w:tcMar>
              <w:top w:w="70" w:type="dxa"/>
              <w:bottom w:w="70" w:type="dxa"/>
              <w:left w:w="100" w:type="dxa"/>
              <w:right w:w="100" w:type="dxa"/>
            </w:tcMar>
          </w:tcPr>
          <w:p>
            <w:pPr>
              <w:spacing w:after="0"/>
            </w:pPr>
            <w:r>
              <w:rPr>
                <w:rFonts w:ascii="Calibri" w:hAnsi="Calibri"/>
                <w:color w:val="0F172A"/>
                <w:sz w:val="18"/>
              </w:rPr>
              <w:t>API response latency &lt; 150ms for 95th percentile requests under standard load.</w:t>
            </w:r>
          </w:p>
        </w:tc>
        <w:tc>
          <w:tcPr>
            <w:tcW w:type="dxa" w:w="2880"/>
            <w:shd w:fill="FFFFFF"/>
            <w:tcMar>
              <w:top w:w="70" w:type="dxa"/>
              <w:bottom w:w="70" w:type="dxa"/>
              <w:left w:w="100" w:type="dxa"/>
              <w:right w:w="100" w:type="dxa"/>
            </w:tcMar>
          </w:tcPr>
          <w:p>
            <w:pPr>
              <w:spacing w:after="0"/>
            </w:pPr>
            <w:r>
              <w:rPr>
                <w:rFonts w:ascii="Calibri" w:hAnsi="Calibri"/>
                <w:color w:val="0F172A"/>
                <w:sz w:val="18"/>
              </w:rPr>
              <w:t>FastAPI asynchronous routing &amp; indexed foreign keys</w:t>
            </w:r>
          </w:p>
        </w:tc>
      </w:tr>
      <w:tr>
        <w:tc>
          <w:tcPr>
            <w:tcW w:type="dxa" w:w="1296"/>
            <w:shd w:fill="F8FAFC"/>
            <w:tcMar>
              <w:top w:w="70" w:type="dxa"/>
              <w:bottom w:w="70" w:type="dxa"/>
              <w:left w:w="100" w:type="dxa"/>
              <w:right w:w="100" w:type="dxa"/>
            </w:tcMar>
          </w:tcPr>
          <w:p>
            <w:pPr>
              <w:spacing w:after="0"/>
            </w:pPr>
            <w:r>
              <w:rPr>
                <w:rFonts w:ascii="Calibri" w:hAnsi="Calibri"/>
                <w:color w:val="0F172A"/>
                <w:sz w:val="18"/>
              </w:rPr>
              <w:t>NFR-02</w:t>
            </w:r>
          </w:p>
        </w:tc>
        <w:tc>
          <w:tcPr>
            <w:tcW w:type="dxa" w:w="1728"/>
            <w:shd w:fill="F8FAFC"/>
            <w:tcMar>
              <w:top w:w="70" w:type="dxa"/>
              <w:bottom w:w="70" w:type="dxa"/>
              <w:left w:w="100" w:type="dxa"/>
              <w:right w:w="100" w:type="dxa"/>
            </w:tcMar>
          </w:tcPr>
          <w:p>
            <w:pPr>
              <w:spacing w:after="0"/>
            </w:pPr>
            <w:r>
              <w:rPr>
                <w:rFonts w:ascii="Calibri" w:hAnsi="Calibri"/>
                <w:color w:val="0F172A"/>
                <w:sz w:val="18"/>
              </w:rPr>
              <w:t>Availability</w:t>
            </w:r>
          </w:p>
        </w:tc>
        <w:tc>
          <w:tcPr>
            <w:tcW w:type="dxa" w:w="3456"/>
            <w:shd w:fill="F8FAFC"/>
            <w:tcMar>
              <w:top w:w="70" w:type="dxa"/>
              <w:bottom w:w="70" w:type="dxa"/>
              <w:left w:w="100" w:type="dxa"/>
              <w:right w:w="100" w:type="dxa"/>
            </w:tcMar>
          </w:tcPr>
          <w:p>
            <w:pPr>
              <w:spacing w:after="0"/>
            </w:pPr>
            <w:r>
              <w:rPr>
                <w:rFonts w:ascii="Calibri" w:hAnsi="Calibri"/>
                <w:color w:val="0F172A"/>
                <w:sz w:val="18"/>
              </w:rPr>
              <w:t>System availability &gt;= 99.9% backed by container health probes and automated restart policies.</w:t>
            </w:r>
          </w:p>
        </w:tc>
        <w:tc>
          <w:tcPr>
            <w:tcW w:type="dxa" w:w="2880"/>
            <w:shd w:fill="F8FAFC"/>
            <w:tcMar>
              <w:top w:w="70" w:type="dxa"/>
              <w:bottom w:w="70" w:type="dxa"/>
              <w:left w:w="100" w:type="dxa"/>
              <w:right w:w="100" w:type="dxa"/>
            </w:tcMar>
          </w:tcPr>
          <w:p>
            <w:pPr>
              <w:spacing w:after="0"/>
            </w:pPr>
            <w:r>
              <w:rPr>
                <w:rFonts w:ascii="Calibri" w:hAnsi="Calibri"/>
                <w:color w:val="0F172A"/>
                <w:sz w:val="18"/>
              </w:rPr>
              <w:t>Kubernetes Liveness/Readiness probes on /health</w:t>
            </w:r>
          </w:p>
        </w:tc>
      </w:tr>
      <w:tr>
        <w:tc>
          <w:tcPr>
            <w:tcW w:type="dxa" w:w="1296"/>
            <w:shd w:fill="FFFFFF"/>
            <w:tcMar>
              <w:top w:w="70" w:type="dxa"/>
              <w:bottom w:w="70" w:type="dxa"/>
              <w:left w:w="100" w:type="dxa"/>
              <w:right w:w="100" w:type="dxa"/>
            </w:tcMar>
          </w:tcPr>
          <w:p>
            <w:pPr>
              <w:spacing w:after="0"/>
            </w:pPr>
            <w:r>
              <w:rPr>
                <w:rFonts w:ascii="Calibri" w:hAnsi="Calibri"/>
                <w:color w:val="0F172A"/>
                <w:sz w:val="18"/>
              </w:rPr>
              <w:t>NFR-03</w:t>
            </w:r>
          </w:p>
        </w:tc>
        <w:tc>
          <w:tcPr>
            <w:tcW w:type="dxa" w:w="1728"/>
            <w:shd w:fill="FFFFFF"/>
            <w:tcMar>
              <w:top w:w="70" w:type="dxa"/>
              <w:bottom w:w="70" w:type="dxa"/>
              <w:left w:w="100" w:type="dxa"/>
              <w:right w:w="100" w:type="dxa"/>
            </w:tcMar>
          </w:tcPr>
          <w:p>
            <w:pPr>
              <w:spacing w:after="0"/>
            </w:pPr>
            <w:r>
              <w:rPr>
                <w:rFonts w:ascii="Calibri" w:hAnsi="Calibri"/>
                <w:color w:val="0F172A"/>
                <w:sz w:val="18"/>
              </w:rPr>
              <w:t>Reliability</w:t>
            </w:r>
          </w:p>
        </w:tc>
        <w:tc>
          <w:tcPr>
            <w:tcW w:type="dxa" w:w="3456"/>
            <w:shd w:fill="FFFFFF"/>
            <w:tcMar>
              <w:top w:w="70" w:type="dxa"/>
              <w:bottom w:w="70" w:type="dxa"/>
              <w:left w:w="100" w:type="dxa"/>
              <w:right w:w="100" w:type="dxa"/>
            </w:tcMar>
          </w:tcPr>
          <w:p>
            <w:pPr>
              <w:spacing w:after="0"/>
            </w:pPr>
            <w:r>
              <w:rPr>
                <w:rFonts w:ascii="Calibri" w:hAnsi="Calibri"/>
                <w:color w:val="0F172A"/>
                <w:sz w:val="18"/>
              </w:rPr>
              <w:t>ACID transactional consistency with automatic rollback on collision or database disconnect.</w:t>
            </w:r>
          </w:p>
        </w:tc>
        <w:tc>
          <w:tcPr>
            <w:tcW w:type="dxa" w:w="2880"/>
            <w:shd w:fill="FFFFFF"/>
            <w:tcMar>
              <w:top w:w="70" w:type="dxa"/>
              <w:bottom w:w="70" w:type="dxa"/>
              <w:left w:w="100" w:type="dxa"/>
              <w:right w:w="100" w:type="dxa"/>
            </w:tcMar>
          </w:tcPr>
          <w:p>
            <w:pPr>
              <w:spacing w:after="0"/>
            </w:pPr>
            <w:r>
              <w:rPr>
                <w:rFonts w:ascii="Calibri" w:hAnsi="Calibri"/>
                <w:color w:val="0F172A"/>
                <w:sz w:val="18"/>
              </w:rPr>
              <w:t>SQLAlchemy 2.0 connection pool with auto-reconnect</w:t>
            </w:r>
          </w:p>
        </w:tc>
      </w:tr>
      <w:tr>
        <w:tc>
          <w:tcPr>
            <w:tcW w:type="dxa" w:w="1296"/>
            <w:shd w:fill="F8FAFC"/>
            <w:tcMar>
              <w:top w:w="70" w:type="dxa"/>
              <w:bottom w:w="70" w:type="dxa"/>
              <w:left w:w="100" w:type="dxa"/>
              <w:right w:w="100" w:type="dxa"/>
            </w:tcMar>
          </w:tcPr>
          <w:p>
            <w:pPr>
              <w:spacing w:after="0"/>
            </w:pPr>
            <w:r>
              <w:rPr>
                <w:rFonts w:ascii="Calibri" w:hAnsi="Calibri"/>
                <w:color w:val="0F172A"/>
                <w:sz w:val="18"/>
              </w:rPr>
              <w:t>NFR-04</w:t>
            </w:r>
          </w:p>
        </w:tc>
        <w:tc>
          <w:tcPr>
            <w:tcW w:type="dxa" w:w="1728"/>
            <w:shd w:fill="F8FAFC"/>
            <w:tcMar>
              <w:top w:w="70" w:type="dxa"/>
              <w:bottom w:w="70" w:type="dxa"/>
              <w:left w:w="100" w:type="dxa"/>
              <w:right w:w="100" w:type="dxa"/>
            </w:tcMar>
          </w:tcPr>
          <w:p>
            <w:pPr>
              <w:spacing w:after="0"/>
            </w:pPr>
            <w:r>
              <w:rPr>
                <w:rFonts w:ascii="Calibri" w:hAnsi="Calibri"/>
                <w:color w:val="0F172A"/>
                <w:sz w:val="18"/>
              </w:rPr>
              <w:t>Usability</w:t>
            </w:r>
          </w:p>
        </w:tc>
        <w:tc>
          <w:tcPr>
            <w:tcW w:type="dxa" w:w="3456"/>
            <w:shd w:fill="F8FAFC"/>
            <w:tcMar>
              <w:top w:w="70" w:type="dxa"/>
              <w:bottom w:w="70" w:type="dxa"/>
              <w:left w:w="100" w:type="dxa"/>
              <w:right w:w="100" w:type="dxa"/>
            </w:tcMar>
          </w:tcPr>
          <w:p>
            <w:pPr>
              <w:spacing w:after="0"/>
            </w:pPr>
            <w:r>
              <w:rPr>
                <w:rFonts w:ascii="Calibri" w:hAnsi="Calibri"/>
                <w:color w:val="0F172A"/>
                <w:sz w:val="18"/>
              </w:rPr>
              <w:t>WCAG 2.1 AA compliant UI with keyboard navigation, clear error states, and high contrast.</w:t>
            </w:r>
          </w:p>
        </w:tc>
        <w:tc>
          <w:tcPr>
            <w:tcW w:type="dxa" w:w="2880"/>
            <w:shd w:fill="F8FAFC"/>
            <w:tcMar>
              <w:top w:w="70" w:type="dxa"/>
              <w:bottom w:w="70" w:type="dxa"/>
              <w:left w:w="100" w:type="dxa"/>
              <w:right w:w="100" w:type="dxa"/>
            </w:tcMar>
          </w:tcPr>
          <w:p>
            <w:pPr>
              <w:spacing w:after="0"/>
            </w:pPr>
            <w:r>
              <w:rPr>
                <w:rFonts w:ascii="Calibri" w:hAnsi="Calibri"/>
                <w:color w:val="0F172A"/>
                <w:sz w:val="18"/>
              </w:rPr>
              <w:t>React 18 Midnight Indigo design system</w:t>
            </w:r>
          </w:p>
        </w:tc>
      </w:tr>
      <w:tr>
        <w:tc>
          <w:tcPr>
            <w:tcW w:type="dxa" w:w="1296"/>
            <w:shd w:fill="FFFFFF"/>
            <w:tcMar>
              <w:top w:w="70" w:type="dxa"/>
              <w:bottom w:w="70" w:type="dxa"/>
              <w:left w:w="100" w:type="dxa"/>
              <w:right w:w="100" w:type="dxa"/>
            </w:tcMar>
          </w:tcPr>
          <w:p>
            <w:pPr>
              <w:spacing w:after="0"/>
            </w:pPr>
            <w:r>
              <w:rPr>
                <w:rFonts w:ascii="Calibri" w:hAnsi="Calibri"/>
                <w:color w:val="0F172A"/>
                <w:sz w:val="18"/>
              </w:rPr>
              <w:t>NFR-05</w:t>
            </w:r>
          </w:p>
        </w:tc>
        <w:tc>
          <w:tcPr>
            <w:tcW w:type="dxa" w:w="1728"/>
            <w:shd w:fill="FFFFFF"/>
            <w:tcMar>
              <w:top w:w="70" w:type="dxa"/>
              <w:bottom w:w="70" w:type="dxa"/>
              <w:left w:w="100" w:type="dxa"/>
              <w:right w:w="100" w:type="dxa"/>
            </w:tcMar>
          </w:tcPr>
          <w:p>
            <w:pPr>
              <w:spacing w:after="0"/>
            </w:pPr>
            <w:r>
              <w:rPr>
                <w:rFonts w:ascii="Calibri" w:hAnsi="Calibri"/>
                <w:color w:val="0F172A"/>
                <w:sz w:val="18"/>
              </w:rPr>
              <w:t>Maintainability</w:t>
            </w:r>
          </w:p>
        </w:tc>
        <w:tc>
          <w:tcPr>
            <w:tcW w:type="dxa" w:w="3456"/>
            <w:shd w:fill="FFFFFF"/>
            <w:tcMar>
              <w:top w:w="70" w:type="dxa"/>
              <w:bottom w:w="70" w:type="dxa"/>
              <w:left w:w="100" w:type="dxa"/>
              <w:right w:w="100" w:type="dxa"/>
            </w:tcMar>
          </w:tcPr>
          <w:p>
            <w:pPr>
              <w:spacing w:after="0"/>
            </w:pPr>
            <w:r>
              <w:rPr>
                <w:rFonts w:ascii="Calibri" w:hAnsi="Calibri"/>
                <w:color w:val="0F172A"/>
                <w:sz w:val="18"/>
              </w:rPr>
              <w:t>Strict layered micro-tier architecture with &gt; 85% automated test coverage.</w:t>
            </w:r>
          </w:p>
        </w:tc>
        <w:tc>
          <w:tcPr>
            <w:tcW w:type="dxa" w:w="2880"/>
            <w:shd w:fill="FFFFFF"/>
            <w:tcMar>
              <w:top w:w="70" w:type="dxa"/>
              <w:bottom w:w="70" w:type="dxa"/>
              <w:left w:w="100" w:type="dxa"/>
              <w:right w:w="100" w:type="dxa"/>
            </w:tcMar>
          </w:tcPr>
          <w:p>
            <w:pPr>
              <w:spacing w:after="0"/>
            </w:pPr>
            <w:r>
              <w:rPr>
                <w:rFonts w:ascii="Calibri" w:hAnsi="Calibri"/>
                <w:color w:val="0F172A"/>
                <w:sz w:val="18"/>
              </w:rPr>
              <w:t>33 automated pytest test cases passing in CI</w:t>
            </w:r>
          </w:p>
        </w:tc>
      </w:tr>
      <w:tr>
        <w:tc>
          <w:tcPr>
            <w:tcW w:type="dxa" w:w="1296"/>
            <w:shd w:fill="F8FAFC"/>
            <w:tcMar>
              <w:top w:w="70" w:type="dxa"/>
              <w:bottom w:w="70" w:type="dxa"/>
              <w:left w:w="100" w:type="dxa"/>
              <w:right w:w="100" w:type="dxa"/>
            </w:tcMar>
          </w:tcPr>
          <w:p>
            <w:pPr>
              <w:spacing w:after="0"/>
            </w:pPr>
            <w:r>
              <w:rPr>
                <w:rFonts w:ascii="Calibri" w:hAnsi="Calibri"/>
                <w:color w:val="0F172A"/>
                <w:sz w:val="18"/>
              </w:rPr>
              <w:t>NFR-06</w:t>
            </w:r>
          </w:p>
        </w:tc>
        <w:tc>
          <w:tcPr>
            <w:tcW w:type="dxa" w:w="1728"/>
            <w:shd w:fill="F8FAFC"/>
            <w:tcMar>
              <w:top w:w="70" w:type="dxa"/>
              <w:bottom w:w="70" w:type="dxa"/>
              <w:left w:w="100" w:type="dxa"/>
              <w:right w:w="100" w:type="dxa"/>
            </w:tcMar>
          </w:tcPr>
          <w:p>
            <w:pPr>
              <w:spacing w:after="0"/>
            </w:pPr>
            <w:r>
              <w:rPr>
                <w:rFonts w:ascii="Calibri" w:hAnsi="Calibri"/>
                <w:color w:val="0F172A"/>
                <w:sz w:val="18"/>
              </w:rPr>
              <w:t>Scalability</w:t>
            </w:r>
          </w:p>
        </w:tc>
        <w:tc>
          <w:tcPr>
            <w:tcW w:type="dxa" w:w="3456"/>
            <w:shd w:fill="F8FAFC"/>
            <w:tcMar>
              <w:top w:w="70" w:type="dxa"/>
              <w:bottom w:w="70" w:type="dxa"/>
              <w:left w:w="100" w:type="dxa"/>
              <w:right w:w="100" w:type="dxa"/>
            </w:tcMar>
          </w:tcPr>
          <w:p>
            <w:pPr>
              <w:spacing w:after="0"/>
            </w:pPr>
            <w:r>
              <w:rPr>
                <w:rFonts w:ascii="Calibri" w:hAnsi="Calibri"/>
                <w:color w:val="0F172A"/>
                <w:sz w:val="18"/>
              </w:rPr>
              <w:t>High-throughput registration concurrency safety via pessimistic row locks.</w:t>
            </w:r>
          </w:p>
        </w:tc>
        <w:tc>
          <w:tcPr>
            <w:tcW w:type="dxa" w:w="2880"/>
            <w:shd w:fill="F8FAFC"/>
            <w:tcMar>
              <w:top w:w="70" w:type="dxa"/>
              <w:bottom w:w="70" w:type="dxa"/>
              <w:left w:w="100" w:type="dxa"/>
              <w:right w:w="100" w:type="dxa"/>
            </w:tcMar>
          </w:tcPr>
          <w:p>
            <w:pPr>
              <w:spacing w:after="0"/>
            </w:pPr>
            <w:r>
              <w:rPr>
                <w:rFonts w:ascii="Calibri" w:hAnsi="Calibri"/>
                <w:color w:val="0F172A"/>
                <w:sz w:val="18"/>
              </w:rPr>
              <w:t>Zero capacity overflows in concurrent stress tests</w:t>
            </w:r>
          </w:p>
        </w:tc>
      </w:tr>
    </w:tbl>
    <w:p>
      <w:pPr>
        <w:spacing w:after="160"/>
      </w:pPr>
    </w:p>
    <w:p>
      <w:pPr>
        <w:keepNext/>
        <w:spacing w:before="320" w:after="120"/>
      </w:pPr>
      <w:r>
        <w:rPr>
          <w:rFonts w:ascii="Arial" w:hAnsi="Arial"/>
          <w:b/>
          <w:color w:val="1E3A8A"/>
          <w:sz w:val="30"/>
        </w:rPr>
        <w:t>6. Security Requirements Specification (SR)</w:t>
      </w:r>
    </w:p>
    <w:tbl>
      <w:tblPr>
        <w:tblW w:type="auto" w:w="0"/>
        <w:jc w:val="center"/>
        <w:tblLook w:firstColumn="1" w:firstRow="1" w:lastColumn="0" w:lastRow="0" w:noHBand="0" w:noVBand="1" w:val="04A0"/>
      </w:tblPr>
      <w:tblGrid>
        <w:gridCol w:w="2340"/>
        <w:gridCol w:w="2340"/>
        <w:gridCol w:w="2340"/>
        <w:gridCol w:w="2340"/>
      </w:tblGrid>
      <w:tr>
        <w:tc>
          <w:tcPr>
            <w:tcW w:type="dxa" w:w="1440"/>
            <w:shd w:fill="1E3A8A"/>
            <w:tcMar>
              <w:top w:w="100" w:type="dxa"/>
              <w:bottom w:w="100" w:type="dxa"/>
              <w:left w:w="120" w:type="dxa"/>
              <w:right w:w="120" w:type="dxa"/>
            </w:tcMar>
          </w:tcPr>
          <w:p>
            <w:pPr>
              <w:spacing w:after="0"/>
            </w:pPr>
            <w:r>
              <w:rPr>
                <w:rFonts w:ascii="Calibri" w:hAnsi="Calibri"/>
                <w:b/>
                <w:color w:val="FFFFFF"/>
                <w:sz w:val="19"/>
              </w:rPr>
              <w:t>Security ID</w:t>
            </w:r>
          </w:p>
        </w:tc>
        <w:tc>
          <w:tcPr>
            <w:tcW w:type="dxa" w:w="2304"/>
            <w:shd w:fill="1E3A8A"/>
            <w:tcMar>
              <w:top w:w="100" w:type="dxa"/>
              <w:bottom w:w="100" w:type="dxa"/>
              <w:left w:w="120" w:type="dxa"/>
              <w:right w:w="120" w:type="dxa"/>
            </w:tcMar>
          </w:tcPr>
          <w:p>
            <w:pPr>
              <w:spacing w:after="0"/>
            </w:pPr>
            <w:r>
              <w:rPr>
                <w:rFonts w:ascii="Calibri" w:hAnsi="Calibri"/>
                <w:b/>
                <w:color w:val="FFFFFF"/>
                <w:sz w:val="19"/>
              </w:rPr>
              <w:t>Security Principle</w:t>
            </w:r>
          </w:p>
        </w:tc>
        <w:tc>
          <w:tcPr>
            <w:tcW w:type="dxa" w:w="3600"/>
            <w:shd w:fill="1E3A8A"/>
            <w:tcMar>
              <w:top w:w="100" w:type="dxa"/>
              <w:bottom w:w="100" w:type="dxa"/>
              <w:left w:w="120" w:type="dxa"/>
              <w:right w:w="120" w:type="dxa"/>
            </w:tcMar>
          </w:tcPr>
          <w:p>
            <w:pPr>
              <w:spacing w:after="0"/>
            </w:pPr>
            <w:r>
              <w:rPr>
                <w:rFonts w:ascii="Calibri" w:hAnsi="Calibri"/>
                <w:b/>
                <w:color w:val="FFFFFF"/>
                <w:sz w:val="19"/>
              </w:rPr>
              <w:t>Enforced Technical Implementation</w:t>
            </w:r>
          </w:p>
        </w:tc>
        <w:tc>
          <w:tcPr>
            <w:tcW w:type="dxa" w:w="2016"/>
            <w:shd w:fill="1E3A8A"/>
            <w:tcMar>
              <w:top w:w="100" w:type="dxa"/>
              <w:bottom w:w="100" w:type="dxa"/>
              <w:left w:w="120" w:type="dxa"/>
              <w:right w:w="120" w:type="dxa"/>
            </w:tcMar>
          </w:tcPr>
          <w:p>
            <w:pPr>
              <w:spacing w:after="0"/>
            </w:pPr>
            <w:r>
              <w:rPr>
                <w:rFonts w:ascii="Calibri" w:hAnsi="Calibri"/>
                <w:b/>
                <w:color w:val="FFFFFF"/>
                <w:sz w:val="19"/>
              </w:rPr>
              <w:t>Critical Verification</w:t>
            </w:r>
          </w:p>
        </w:tc>
      </w:tr>
      <w:tr>
        <w:tc>
          <w:tcPr>
            <w:tcW w:type="dxa" w:w="1440"/>
            <w:shd w:fill="FFFFFF"/>
            <w:tcMar>
              <w:top w:w="70" w:type="dxa"/>
              <w:bottom w:w="70" w:type="dxa"/>
              <w:left w:w="100" w:type="dxa"/>
              <w:right w:w="100" w:type="dxa"/>
            </w:tcMar>
          </w:tcPr>
          <w:p>
            <w:pPr>
              <w:spacing w:after="0"/>
            </w:pPr>
            <w:r>
              <w:rPr>
                <w:rFonts w:ascii="Calibri" w:hAnsi="Calibri"/>
                <w:color w:val="0F172A"/>
                <w:sz w:val="18"/>
              </w:rPr>
              <w:t>SR-01</w:t>
            </w:r>
          </w:p>
        </w:tc>
        <w:tc>
          <w:tcPr>
            <w:tcW w:type="dxa" w:w="2304"/>
            <w:shd w:fill="FFFFFF"/>
            <w:tcMar>
              <w:top w:w="70" w:type="dxa"/>
              <w:bottom w:w="70" w:type="dxa"/>
              <w:left w:w="100" w:type="dxa"/>
              <w:right w:w="100" w:type="dxa"/>
            </w:tcMar>
          </w:tcPr>
          <w:p>
            <w:pPr>
              <w:spacing w:after="0"/>
            </w:pPr>
            <w:r>
              <w:rPr>
                <w:rFonts w:ascii="Calibri" w:hAnsi="Calibri"/>
                <w:color w:val="0F172A"/>
                <w:sz w:val="18"/>
              </w:rPr>
              <w:t>Secure Authentication</w:t>
            </w:r>
          </w:p>
        </w:tc>
        <w:tc>
          <w:tcPr>
            <w:tcW w:type="dxa" w:w="3600"/>
            <w:shd w:fill="FFFFFF"/>
            <w:tcMar>
              <w:top w:w="70" w:type="dxa"/>
              <w:bottom w:w="70" w:type="dxa"/>
              <w:left w:w="100" w:type="dxa"/>
              <w:right w:w="100" w:type="dxa"/>
            </w:tcMar>
          </w:tcPr>
          <w:p>
            <w:pPr>
              <w:spacing w:after="0"/>
            </w:pPr>
            <w:r>
              <w:rPr>
                <w:rFonts w:ascii="Calibri" w:hAnsi="Calibri"/>
                <w:color w:val="0F172A"/>
                <w:sz w:val="18"/>
              </w:rPr>
              <w:t>Bcrypt password hashing (cost factor 12 in production, 4 in test); sliding-window rate limiting.</w:t>
            </w:r>
          </w:p>
        </w:tc>
        <w:tc>
          <w:tcPr>
            <w:tcW w:type="dxa" w:w="2016"/>
            <w:shd w:fill="FFFFFF"/>
            <w:tcMar>
              <w:top w:w="70" w:type="dxa"/>
              <w:bottom w:w="70" w:type="dxa"/>
              <w:left w:w="100" w:type="dxa"/>
              <w:right w:w="100" w:type="dxa"/>
            </w:tcMar>
          </w:tcPr>
          <w:p>
            <w:pPr>
              <w:spacing w:after="0"/>
            </w:pPr>
            <w:r>
              <w:rPr>
                <w:rFonts w:ascii="Calibri" w:hAnsi="Calibri"/>
                <w:color w:val="0F172A"/>
                <w:sz w:val="18"/>
              </w:rPr>
              <w:t>Passes TC-14, TC-17</w:t>
            </w:r>
          </w:p>
        </w:tc>
      </w:tr>
      <w:tr>
        <w:tc>
          <w:tcPr>
            <w:tcW w:type="dxa" w:w="1440"/>
            <w:shd w:fill="F8FAFC"/>
            <w:tcMar>
              <w:top w:w="70" w:type="dxa"/>
              <w:bottom w:w="70" w:type="dxa"/>
              <w:left w:w="100" w:type="dxa"/>
              <w:right w:w="100" w:type="dxa"/>
            </w:tcMar>
          </w:tcPr>
          <w:p>
            <w:pPr>
              <w:spacing w:after="0"/>
            </w:pPr>
            <w:r>
              <w:rPr>
                <w:rFonts w:ascii="Calibri" w:hAnsi="Calibri"/>
                <w:color w:val="0F172A"/>
                <w:sz w:val="18"/>
              </w:rPr>
              <w:t>SR-02</w:t>
            </w:r>
          </w:p>
        </w:tc>
        <w:tc>
          <w:tcPr>
            <w:tcW w:type="dxa" w:w="2304"/>
            <w:shd w:fill="F8FAFC"/>
            <w:tcMar>
              <w:top w:w="70" w:type="dxa"/>
              <w:bottom w:w="70" w:type="dxa"/>
              <w:left w:w="100" w:type="dxa"/>
              <w:right w:w="100" w:type="dxa"/>
            </w:tcMar>
          </w:tcPr>
          <w:p>
            <w:pPr>
              <w:spacing w:after="0"/>
            </w:pPr>
            <w:r>
              <w:rPr>
                <w:rFonts w:ascii="Calibri" w:hAnsi="Calibri"/>
                <w:color w:val="0F172A"/>
                <w:sz w:val="18"/>
              </w:rPr>
              <w:t>Role-Based Access Control</w:t>
            </w:r>
          </w:p>
        </w:tc>
        <w:tc>
          <w:tcPr>
            <w:tcW w:type="dxa" w:w="3600"/>
            <w:shd w:fill="F8FAFC"/>
            <w:tcMar>
              <w:top w:w="70" w:type="dxa"/>
              <w:bottom w:w="70" w:type="dxa"/>
              <w:left w:w="100" w:type="dxa"/>
              <w:right w:w="100" w:type="dxa"/>
            </w:tcMar>
          </w:tcPr>
          <w:p>
            <w:pPr>
              <w:spacing w:after="0"/>
            </w:pPr>
            <w:r>
              <w:rPr>
                <w:rFonts w:ascii="Calibri" w:hAnsi="Calibri"/>
                <w:color w:val="0F172A"/>
                <w:sz w:val="18"/>
              </w:rPr>
              <w:t>Declarative RBAC enforced via FastAPI require_roles dependency factory.</w:t>
            </w:r>
          </w:p>
        </w:tc>
        <w:tc>
          <w:tcPr>
            <w:tcW w:type="dxa" w:w="2016"/>
            <w:shd w:fill="F8FAFC"/>
            <w:tcMar>
              <w:top w:w="70" w:type="dxa"/>
              <w:bottom w:w="70" w:type="dxa"/>
              <w:left w:w="100" w:type="dxa"/>
              <w:right w:w="100" w:type="dxa"/>
            </w:tcMar>
          </w:tcPr>
          <w:p>
            <w:pPr>
              <w:spacing w:after="0"/>
            </w:pPr>
            <w:r>
              <w:rPr>
                <w:rFonts w:ascii="Calibri" w:hAnsi="Calibri"/>
                <w:color w:val="0F172A"/>
                <w:sz w:val="18"/>
              </w:rPr>
              <w:t>Passes TC-03, TC-04, TC-07</w:t>
            </w:r>
          </w:p>
        </w:tc>
      </w:tr>
      <w:tr>
        <w:tc>
          <w:tcPr>
            <w:tcW w:type="dxa" w:w="1440"/>
            <w:shd w:fill="FFFFFF"/>
            <w:tcMar>
              <w:top w:w="70" w:type="dxa"/>
              <w:bottom w:w="70" w:type="dxa"/>
              <w:left w:w="100" w:type="dxa"/>
              <w:right w:w="100" w:type="dxa"/>
            </w:tcMar>
          </w:tcPr>
          <w:p>
            <w:pPr>
              <w:spacing w:after="0"/>
            </w:pPr>
            <w:r>
              <w:rPr>
                <w:rFonts w:ascii="Calibri" w:hAnsi="Calibri"/>
                <w:color w:val="0F172A"/>
                <w:sz w:val="18"/>
              </w:rPr>
              <w:t>SR-03</w:t>
            </w:r>
          </w:p>
        </w:tc>
        <w:tc>
          <w:tcPr>
            <w:tcW w:type="dxa" w:w="2304"/>
            <w:shd w:fill="FFFFFF"/>
            <w:tcMar>
              <w:top w:w="70" w:type="dxa"/>
              <w:bottom w:w="70" w:type="dxa"/>
              <w:left w:w="100" w:type="dxa"/>
              <w:right w:w="100" w:type="dxa"/>
            </w:tcMar>
          </w:tcPr>
          <w:p>
            <w:pPr>
              <w:spacing w:after="0"/>
            </w:pPr>
            <w:r>
              <w:rPr>
                <w:rFonts w:ascii="Calibri" w:hAnsi="Calibri"/>
                <w:color w:val="0F172A"/>
                <w:sz w:val="18"/>
              </w:rPr>
              <w:t>Object-Level Authorization</w:t>
            </w:r>
          </w:p>
        </w:tc>
        <w:tc>
          <w:tcPr>
            <w:tcW w:type="dxa" w:w="3600"/>
            <w:shd w:fill="FFFFFF"/>
            <w:tcMar>
              <w:top w:w="70" w:type="dxa"/>
              <w:bottom w:w="70" w:type="dxa"/>
              <w:left w:w="100" w:type="dxa"/>
              <w:right w:w="100" w:type="dxa"/>
            </w:tcMar>
          </w:tcPr>
          <w:p>
            <w:pPr>
              <w:spacing w:after="0"/>
            </w:pPr>
            <w:r>
              <w:rPr>
                <w:rFonts w:ascii="Calibri" w:hAnsi="Calibri"/>
                <w:color w:val="0F172A"/>
                <w:sz w:val="18"/>
              </w:rPr>
              <w:t>Server-side ownership verification (event.organizer_id == user.id or reg.student_id == user.id).</w:t>
            </w:r>
          </w:p>
        </w:tc>
        <w:tc>
          <w:tcPr>
            <w:tcW w:type="dxa" w:w="2016"/>
            <w:shd w:fill="FFFFFF"/>
            <w:tcMar>
              <w:top w:w="70" w:type="dxa"/>
              <w:bottom w:w="70" w:type="dxa"/>
              <w:left w:w="100" w:type="dxa"/>
              <w:right w:w="100" w:type="dxa"/>
            </w:tcMar>
          </w:tcPr>
          <w:p>
            <w:pPr>
              <w:spacing w:after="0"/>
            </w:pPr>
            <w:r>
              <w:rPr>
                <w:rFonts w:ascii="Calibri" w:hAnsi="Calibri"/>
                <w:color w:val="0F172A"/>
                <w:sz w:val="18"/>
              </w:rPr>
              <w:t>Passes TC-01, TC-02, TC-05</w:t>
            </w:r>
          </w:p>
        </w:tc>
      </w:tr>
      <w:tr>
        <w:tc>
          <w:tcPr>
            <w:tcW w:type="dxa" w:w="1440"/>
            <w:shd w:fill="F8FAFC"/>
            <w:tcMar>
              <w:top w:w="70" w:type="dxa"/>
              <w:bottom w:w="70" w:type="dxa"/>
              <w:left w:w="100" w:type="dxa"/>
              <w:right w:w="100" w:type="dxa"/>
            </w:tcMar>
          </w:tcPr>
          <w:p>
            <w:pPr>
              <w:spacing w:after="0"/>
            </w:pPr>
            <w:r>
              <w:rPr>
                <w:rFonts w:ascii="Calibri" w:hAnsi="Calibri"/>
                <w:color w:val="0F172A"/>
                <w:sz w:val="18"/>
              </w:rPr>
              <w:t>SR-04</w:t>
            </w:r>
          </w:p>
        </w:tc>
        <w:tc>
          <w:tcPr>
            <w:tcW w:type="dxa" w:w="2304"/>
            <w:shd w:fill="F8FAFC"/>
            <w:tcMar>
              <w:top w:w="70" w:type="dxa"/>
              <w:bottom w:w="70" w:type="dxa"/>
              <w:left w:w="100" w:type="dxa"/>
              <w:right w:w="100" w:type="dxa"/>
            </w:tcMar>
          </w:tcPr>
          <w:p>
            <w:pPr>
              <w:spacing w:after="0"/>
            </w:pPr>
            <w:r>
              <w:rPr>
                <w:rFonts w:ascii="Calibri" w:hAnsi="Calibri"/>
                <w:color w:val="0F172A"/>
                <w:sz w:val="18"/>
              </w:rPr>
              <w:t>Unauthorized Registration Prevention</w:t>
            </w:r>
          </w:p>
        </w:tc>
        <w:tc>
          <w:tcPr>
            <w:tcW w:type="dxa" w:w="3600"/>
            <w:shd w:fill="F8FAFC"/>
            <w:tcMar>
              <w:top w:w="70" w:type="dxa"/>
              <w:bottom w:w="70" w:type="dxa"/>
              <w:left w:w="100" w:type="dxa"/>
              <w:right w:w="100" w:type="dxa"/>
            </w:tcMar>
          </w:tcPr>
          <w:p>
            <w:pPr>
              <w:spacing w:after="0"/>
            </w:pPr>
            <w:r>
              <w:rPr>
                <w:rFonts w:ascii="Calibri" w:hAnsi="Calibri"/>
                <w:color w:val="0F172A"/>
                <w:sz w:val="18"/>
              </w:rPr>
              <w:t>Guests and Faculty barred from registering; student authentication strictly mandated.</w:t>
            </w:r>
          </w:p>
        </w:tc>
        <w:tc>
          <w:tcPr>
            <w:tcW w:type="dxa" w:w="2016"/>
            <w:shd w:fill="F8FAFC"/>
            <w:tcMar>
              <w:top w:w="70" w:type="dxa"/>
              <w:bottom w:w="70" w:type="dxa"/>
              <w:left w:w="100" w:type="dxa"/>
              <w:right w:w="100" w:type="dxa"/>
            </w:tcMar>
          </w:tcPr>
          <w:p>
            <w:pPr>
              <w:spacing w:after="0"/>
            </w:pPr>
            <w:r>
              <w:rPr>
                <w:rFonts w:ascii="Calibri" w:hAnsi="Calibri"/>
                <w:color w:val="0F172A"/>
                <w:sz w:val="18"/>
              </w:rPr>
              <w:t>Passes TC-03, TC-12</w:t>
            </w:r>
          </w:p>
        </w:tc>
      </w:tr>
      <w:tr>
        <w:tc>
          <w:tcPr>
            <w:tcW w:type="dxa" w:w="1440"/>
            <w:shd w:fill="FFFFFF"/>
            <w:tcMar>
              <w:top w:w="70" w:type="dxa"/>
              <w:bottom w:w="70" w:type="dxa"/>
              <w:left w:w="100" w:type="dxa"/>
              <w:right w:w="100" w:type="dxa"/>
            </w:tcMar>
          </w:tcPr>
          <w:p>
            <w:pPr>
              <w:spacing w:after="0"/>
            </w:pPr>
            <w:r>
              <w:rPr>
                <w:rFonts w:ascii="Calibri" w:hAnsi="Calibri"/>
                <w:color w:val="0F172A"/>
                <w:sz w:val="18"/>
              </w:rPr>
              <w:t>SR-05</w:t>
            </w:r>
          </w:p>
        </w:tc>
        <w:tc>
          <w:tcPr>
            <w:tcW w:type="dxa" w:w="2304"/>
            <w:shd w:fill="FFFFFF"/>
            <w:tcMar>
              <w:top w:w="70" w:type="dxa"/>
              <w:bottom w:w="70" w:type="dxa"/>
              <w:left w:w="100" w:type="dxa"/>
              <w:right w:w="100" w:type="dxa"/>
            </w:tcMar>
          </w:tcPr>
          <w:p>
            <w:pPr>
              <w:spacing w:after="0"/>
            </w:pPr>
            <w:r>
              <w:rPr>
                <w:rFonts w:ascii="Calibri" w:hAnsi="Calibri"/>
                <w:color w:val="0F172A"/>
                <w:sz w:val="18"/>
              </w:rPr>
              <w:t>Duplicate Registration Prevention</w:t>
            </w:r>
          </w:p>
        </w:tc>
        <w:tc>
          <w:tcPr>
            <w:tcW w:type="dxa" w:w="3600"/>
            <w:shd w:fill="FFFFFF"/>
            <w:tcMar>
              <w:top w:w="70" w:type="dxa"/>
              <w:bottom w:w="70" w:type="dxa"/>
              <w:left w:w="100" w:type="dxa"/>
              <w:right w:w="100" w:type="dxa"/>
            </w:tcMar>
          </w:tcPr>
          <w:p>
            <w:pPr>
              <w:spacing w:after="0"/>
            </w:pPr>
            <w:r>
              <w:rPr>
                <w:rFonts w:ascii="Calibri" w:hAnsi="Calibri"/>
                <w:color w:val="0F172A"/>
                <w:sz w:val="18"/>
              </w:rPr>
              <w:t>PostgreSQL partial unique index uq_event_student_active enforces zero duplicates.</w:t>
            </w:r>
          </w:p>
        </w:tc>
        <w:tc>
          <w:tcPr>
            <w:tcW w:type="dxa" w:w="2016"/>
            <w:shd w:fill="FFFFFF"/>
            <w:tcMar>
              <w:top w:w="70" w:type="dxa"/>
              <w:bottom w:w="70" w:type="dxa"/>
              <w:left w:w="100" w:type="dxa"/>
              <w:right w:w="100" w:type="dxa"/>
            </w:tcMar>
          </w:tcPr>
          <w:p>
            <w:pPr>
              <w:spacing w:after="0"/>
            </w:pPr>
            <w:r>
              <w:rPr>
                <w:rFonts w:ascii="Calibri" w:hAnsi="Calibri"/>
                <w:color w:val="0F172A"/>
                <w:sz w:val="18"/>
              </w:rPr>
              <w:t>Passes TC-08</w:t>
            </w:r>
          </w:p>
        </w:tc>
      </w:tr>
      <w:tr>
        <w:tc>
          <w:tcPr>
            <w:tcW w:type="dxa" w:w="1440"/>
            <w:shd w:fill="F8FAFC"/>
            <w:tcMar>
              <w:top w:w="70" w:type="dxa"/>
              <w:bottom w:w="70" w:type="dxa"/>
              <w:left w:w="100" w:type="dxa"/>
              <w:right w:w="100" w:type="dxa"/>
            </w:tcMar>
          </w:tcPr>
          <w:p>
            <w:pPr>
              <w:spacing w:after="0"/>
            </w:pPr>
            <w:r>
              <w:rPr>
                <w:rFonts w:ascii="Calibri" w:hAnsi="Calibri"/>
                <w:color w:val="0F172A"/>
                <w:sz w:val="18"/>
              </w:rPr>
              <w:t>SR-06</w:t>
            </w:r>
          </w:p>
        </w:tc>
        <w:tc>
          <w:tcPr>
            <w:tcW w:type="dxa" w:w="2304"/>
            <w:shd w:fill="F8FAFC"/>
            <w:tcMar>
              <w:top w:w="70" w:type="dxa"/>
              <w:bottom w:w="70" w:type="dxa"/>
              <w:left w:w="100" w:type="dxa"/>
              <w:right w:w="100" w:type="dxa"/>
            </w:tcMar>
          </w:tcPr>
          <w:p>
            <w:pPr>
              <w:spacing w:after="0"/>
            </w:pPr>
            <w:r>
              <w:rPr>
                <w:rFonts w:ascii="Calibri" w:hAnsi="Calibri"/>
                <w:color w:val="0F172A"/>
                <w:sz w:val="18"/>
              </w:rPr>
              <w:t>Participant Data Protection</w:t>
            </w:r>
          </w:p>
        </w:tc>
        <w:tc>
          <w:tcPr>
            <w:tcW w:type="dxa" w:w="3600"/>
            <w:shd w:fill="F8FAFC"/>
            <w:tcMar>
              <w:top w:w="70" w:type="dxa"/>
              <w:bottom w:w="70" w:type="dxa"/>
              <w:left w:w="100" w:type="dxa"/>
              <w:right w:w="100" w:type="dxa"/>
            </w:tcMar>
          </w:tcPr>
          <w:p>
            <w:pPr>
              <w:spacing w:after="0"/>
            </w:pPr>
            <w:r>
              <w:rPr>
                <w:rFonts w:ascii="Calibri" w:hAnsi="Calibri"/>
                <w:color w:val="0F172A"/>
                <w:sz w:val="18"/>
              </w:rPr>
              <w:t>Student emails and names isolated to event organizers and system admins.</w:t>
            </w:r>
          </w:p>
        </w:tc>
        <w:tc>
          <w:tcPr>
            <w:tcW w:type="dxa" w:w="2016"/>
            <w:shd w:fill="F8FAFC"/>
            <w:tcMar>
              <w:top w:w="70" w:type="dxa"/>
              <w:bottom w:w="70" w:type="dxa"/>
              <w:left w:w="100" w:type="dxa"/>
              <w:right w:w="100" w:type="dxa"/>
            </w:tcMar>
          </w:tcPr>
          <w:p>
            <w:pPr>
              <w:spacing w:after="0"/>
            </w:pPr>
            <w:r>
              <w:rPr>
                <w:rFonts w:ascii="Calibri" w:hAnsi="Calibri"/>
                <w:color w:val="0F172A"/>
                <w:sz w:val="18"/>
              </w:rPr>
              <w:t>Passes TC-05</w:t>
            </w:r>
          </w:p>
        </w:tc>
      </w:tr>
      <w:tr>
        <w:tc>
          <w:tcPr>
            <w:tcW w:type="dxa" w:w="1440"/>
            <w:shd w:fill="FFFFFF"/>
            <w:tcMar>
              <w:top w:w="70" w:type="dxa"/>
              <w:bottom w:w="70" w:type="dxa"/>
              <w:left w:w="100" w:type="dxa"/>
              <w:right w:w="100" w:type="dxa"/>
            </w:tcMar>
          </w:tcPr>
          <w:p>
            <w:pPr>
              <w:spacing w:after="0"/>
            </w:pPr>
            <w:r>
              <w:rPr>
                <w:rFonts w:ascii="Calibri" w:hAnsi="Calibri"/>
                <w:color w:val="0F172A"/>
                <w:sz w:val="18"/>
              </w:rPr>
              <w:t>SR-07</w:t>
            </w:r>
          </w:p>
        </w:tc>
        <w:tc>
          <w:tcPr>
            <w:tcW w:type="dxa" w:w="2304"/>
            <w:shd w:fill="FFFFFF"/>
            <w:tcMar>
              <w:top w:w="70" w:type="dxa"/>
              <w:bottom w:w="70" w:type="dxa"/>
              <w:left w:w="100" w:type="dxa"/>
              <w:right w:w="100" w:type="dxa"/>
            </w:tcMar>
          </w:tcPr>
          <w:p>
            <w:pPr>
              <w:spacing w:after="0"/>
            </w:pPr>
            <w:r>
              <w:rPr>
                <w:rFonts w:ascii="Calibri" w:hAnsi="Calibri"/>
                <w:color w:val="0F172A"/>
                <w:sz w:val="18"/>
              </w:rPr>
              <w:t>Secure Session Handling</w:t>
            </w:r>
          </w:p>
        </w:tc>
        <w:tc>
          <w:tcPr>
            <w:tcW w:type="dxa" w:w="3600"/>
            <w:shd w:fill="FFFFFF"/>
            <w:tcMar>
              <w:top w:w="70" w:type="dxa"/>
              <w:bottom w:w="70" w:type="dxa"/>
              <w:left w:w="100" w:type="dxa"/>
              <w:right w:w="100" w:type="dxa"/>
            </w:tcMar>
          </w:tcPr>
          <w:p>
            <w:pPr>
              <w:spacing w:after="0"/>
            </w:pPr>
            <w:r>
              <w:rPr>
                <w:rFonts w:ascii="Calibri" w:hAnsi="Calibri"/>
                <w:color w:val="0F172A"/>
                <w:sz w:val="18"/>
              </w:rPr>
              <w:t>Stateless JWT issued exclusively into HttpOnly, SameSite=Lax, Secure cookies. Zero tokens in localStorage.</w:t>
            </w:r>
          </w:p>
        </w:tc>
        <w:tc>
          <w:tcPr>
            <w:tcW w:type="dxa" w:w="2016"/>
            <w:shd w:fill="FFFFFF"/>
            <w:tcMar>
              <w:top w:w="70" w:type="dxa"/>
              <w:bottom w:w="70" w:type="dxa"/>
              <w:left w:w="100" w:type="dxa"/>
              <w:right w:w="100" w:type="dxa"/>
            </w:tcMar>
          </w:tcPr>
          <w:p>
            <w:pPr>
              <w:spacing w:after="0"/>
            </w:pPr>
            <w:r>
              <w:rPr>
                <w:rFonts w:ascii="Calibri" w:hAnsi="Calibri"/>
                <w:color w:val="0F172A"/>
                <w:sz w:val="18"/>
              </w:rPr>
              <w:t>Passes TC-20</w:t>
            </w:r>
          </w:p>
        </w:tc>
      </w:tr>
      <w:tr>
        <w:tc>
          <w:tcPr>
            <w:tcW w:type="dxa" w:w="1440"/>
            <w:shd w:fill="F8FAFC"/>
            <w:tcMar>
              <w:top w:w="70" w:type="dxa"/>
              <w:bottom w:w="70" w:type="dxa"/>
              <w:left w:w="100" w:type="dxa"/>
              <w:right w:w="100" w:type="dxa"/>
            </w:tcMar>
          </w:tcPr>
          <w:p>
            <w:pPr>
              <w:spacing w:after="0"/>
            </w:pPr>
            <w:r>
              <w:rPr>
                <w:rFonts w:ascii="Calibri" w:hAnsi="Calibri"/>
                <w:color w:val="0F172A"/>
                <w:sz w:val="18"/>
              </w:rPr>
              <w:t>SR-08</w:t>
            </w:r>
          </w:p>
        </w:tc>
        <w:tc>
          <w:tcPr>
            <w:tcW w:type="dxa" w:w="2304"/>
            <w:shd w:fill="F8FAFC"/>
            <w:tcMar>
              <w:top w:w="70" w:type="dxa"/>
              <w:bottom w:w="70" w:type="dxa"/>
              <w:left w:w="100" w:type="dxa"/>
              <w:right w:w="100" w:type="dxa"/>
            </w:tcMar>
          </w:tcPr>
          <w:p>
            <w:pPr>
              <w:spacing w:after="0"/>
            </w:pPr>
            <w:r>
              <w:rPr>
                <w:rFonts w:ascii="Calibri" w:hAnsi="Calibri"/>
                <w:color w:val="0F172A"/>
                <w:sz w:val="18"/>
              </w:rPr>
              <w:t>Input Boundary Validation</w:t>
            </w:r>
          </w:p>
        </w:tc>
        <w:tc>
          <w:tcPr>
            <w:tcW w:type="dxa" w:w="3600"/>
            <w:shd w:fill="F8FAFC"/>
            <w:tcMar>
              <w:top w:w="70" w:type="dxa"/>
              <w:bottom w:w="70" w:type="dxa"/>
              <w:left w:w="100" w:type="dxa"/>
              <w:right w:w="100" w:type="dxa"/>
            </w:tcMar>
          </w:tcPr>
          <w:p>
            <w:pPr>
              <w:spacing w:after="0"/>
            </w:pPr>
            <w:r>
              <w:rPr>
                <w:rFonts w:ascii="Calibri" w:hAnsi="Calibri"/>
                <w:color w:val="0F172A"/>
                <w:sz w:val="18"/>
              </w:rPr>
              <w:t>Pydantic v2 schemas reject malformed strings, buffer overruns, and negative integers.</w:t>
            </w:r>
          </w:p>
        </w:tc>
        <w:tc>
          <w:tcPr>
            <w:tcW w:type="dxa" w:w="2016"/>
            <w:shd w:fill="F8FAFC"/>
            <w:tcMar>
              <w:top w:w="70" w:type="dxa"/>
              <w:bottom w:w="70" w:type="dxa"/>
              <w:left w:w="100" w:type="dxa"/>
              <w:right w:w="100" w:type="dxa"/>
            </w:tcMar>
          </w:tcPr>
          <w:p>
            <w:pPr>
              <w:spacing w:after="0"/>
            </w:pPr>
            <w:r>
              <w:rPr>
                <w:rFonts w:ascii="Calibri" w:hAnsi="Calibri"/>
                <w:color w:val="0F172A"/>
                <w:sz w:val="18"/>
              </w:rPr>
              <w:t>Passes TC-13, Fuzzing Suite</w:t>
            </w:r>
          </w:p>
        </w:tc>
      </w:tr>
      <w:tr>
        <w:tc>
          <w:tcPr>
            <w:tcW w:type="dxa" w:w="1440"/>
            <w:shd w:fill="FFFFFF"/>
            <w:tcMar>
              <w:top w:w="70" w:type="dxa"/>
              <w:bottom w:w="70" w:type="dxa"/>
              <w:left w:w="100" w:type="dxa"/>
              <w:right w:w="100" w:type="dxa"/>
            </w:tcMar>
          </w:tcPr>
          <w:p>
            <w:pPr>
              <w:spacing w:after="0"/>
            </w:pPr>
            <w:r>
              <w:rPr>
                <w:rFonts w:ascii="Calibri" w:hAnsi="Calibri"/>
                <w:color w:val="0F172A"/>
                <w:sz w:val="18"/>
              </w:rPr>
              <w:t>SR-09</w:t>
            </w:r>
          </w:p>
        </w:tc>
        <w:tc>
          <w:tcPr>
            <w:tcW w:type="dxa" w:w="2304"/>
            <w:shd w:fill="FFFFFF"/>
            <w:tcMar>
              <w:top w:w="70" w:type="dxa"/>
              <w:bottom w:w="70" w:type="dxa"/>
              <w:left w:w="100" w:type="dxa"/>
              <w:right w:w="100" w:type="dxa"/>
            </w:tcMar>
          </w:tcPr>
          <w:p>
            <w:pPr>
              <w:spacing w:after="0"/>
            </w:pPr>
            <w:r>
              <w:rPr>
                <w:rFonts w:ascii="Calibri" w:hAnsi="Calibri"/>
                <w:color w:val="0F172A"/>
                <w:sz w:val="18"/>
              </w:rPr>
              <w:t>Audit Logging</w:t>
            </w:r>
          </w:p>
        </w:tc>
        <w:tc>
          <w:tcPr>
            <w:tcW w:type="dxa" w:w="3600"/>
            <w:shd w:fill="FFFFFF"/>
            <w:tcMar>
              <w:top w:w="70" w:type="dxa"/>
              <w:bottom w:w="70" w:type="dxa"/>
              <w:left w:w="100" w:type="dxa"/>
              <w:right w:w="100" w:type="dxa"/>
            </w:tcMar>
          </w:tcPr>
          <w:p>
            <w:pPr>
              <w:spacing w:after="0"/>
            </w:pPr>
            <w:r>
              <w:rPr>
                <w:rFonts w:ascii="Calibri" w:hAnsi="Calibri"/>
                <w:color w:val="0F172A"/>
                <w:sz w:val="18"/>
              </w:rPr>
              <w:t>Immutable append-only audit trail captures IP, actor, action, result, and sanitized metadata.</w:t>
            </w:r>
          </w:p>
        </w:tc>
        <w:tc>
          <w:tcPr>
            <w:tcW w:type="dxa" w:w="2016"/>
            <w:shd w:fill="FFFFFF"/>
            <w:tcMar>
              <w:top w:w="70" w:type="dxa"/>
              <w:bottom w:w="70" w:type="dxa"/>
              <w:left w:w="100" w:type="dxa"/>
              <w:right w:w="100" w:type="dxa"/>
            </w:tcMar>
          </w:tcPr>
          <w:p>
            <w:pPr>
              <w:spacing w:after="0"/>
            </w:pPr>
            <w:r>
              <w:rPr>
                <w:rFonts w:ascii="Calibri" w:hAnsi="Calibri"/>
                <w:color w:val="0F172A"/>
                <w:sz w:val="18"/>
              </w:rPr>
              <w:t>Passes TC-15, TC-19</w:t>
            </w:r>
          </w:p>
        </w:tc>
      </w:tr>
      <w:tr>
        <w:tc>
          <w:tcPr>
            <w:tcW w:type="dxa" w:w="1440"/>
            <w:shd w:fill="F8FAFC"/>
            <w:tcMar>
              <w:top w:w="70" w:type="dxa"/>
              <w:bottom w:w="70" w:type="dxa"/>
              <w:left w:w="100" w:type="dxa"/>
              <w:right w:w="100" w:type="dxa"/>
            </w:tcMar>
          </w:tcPr>
          <w:p>
            <w:pPr>
              <w:spacing w:after="0"/>
            </w:pPr>
            <w:r>
              <w:rPr>
                <w:rFonts w:ascii="Calibri" w:hAnsi="Calibri"/>
                <w:color w:val="0F172A"/>
                <w:sz w:val="18"/>
              </w:rPr>
              <w:t>SR-10</w:t>
            </w:r>
          </w:p>
        </w:tc>
        <w:tc>
          <w:tcPr>
            <w:tcW w:type="dxa" w:w="2304"/>
            <w:shd w:fill="F8FAFC"/>
            <w:tcMar>
              <w:top w:w="70" w:type="dxa"/>
              <w:bottom w:w="70" w:type="dxa"/>
              <w:left w:w="100" w:type="dxa"/>
              <w:right w:w="100" w:type="dxa"/>
            </w:tcMar>
          </w:tcPr>
          <w:p>
            <w:pPr>
              <w:spacing w:after="0"/>
            </w:pPr>
            <w:r>
              <w:rPr>
                <w:rFonts w:ascii="Calibri" w:hAnsi="Calibri"/>
                <w:color w:val="0F172A"/>
                <w:sz w:val="18"/>
              </w:rPr>
              <w:t>Safe Error Handling</w:t>
            </w:r>
          </w:p>
        </w:tc>
        <w:tc>
          <w:tcPr>
            <w:tcW w:type="dxa" w:w="3600"/>
            <w:shd w:fill="F8FAFC"/>
            <w:tcMar>
              <w:top w:w="70" w:type="dxa"/>
              <w:bottom w:w="70" w:type="dxa"/>
              <w:left w:w="100" w:type="dxa"/>
              <w:right w:w="100" w:type="dxa"/>
            </w:tcMar>
          </w:tcPr>
          <w:p>
            <w:pPr>
              <w:spacing w:after="0"/>
            </w:pPr>
            <w:r>
              <w:rPr>
                <w:rFonts w:ascii="Calibri" w:hAnsi="Calibri"/>
                <w:color w:val="0F172A"/>
                <w:sz w:val="18"/>
              </w:rPr>
              <w:t>RFC 7807 structured JSON errors; zero database schema or Python stack traces exposed.</w:t>
            </w:r>
          </w:p>
        </w:tc>
        <w:tc>
          <w:tcPr>
            <w:tcW w:type="dxa" w:w="2016"/>
            <w:shd w:fill="F8FAFC"/>
            <w:tcMar>
              <w:top w:w="70" w:type="dxa"/>
              <w:bottom w:w="70" w:type="dxa"/>
              <w:left w:w="100" w:type="dxa"/>
              <w:right w:w="100" w:type="dxa"/>
            </w:tcMar>
          </w:tcPr>
          <w:p>
            <w:pPr>
              <w:spacing w:after="0"/>
            </w:pPr>
            <w:r>
              <w:rPr>
                <w:rFonts w:ascii="Calibri" w:hAnsi="Calibri"/>
                <w:color w:val="0F172A"/>
                <w:sz w:val="18"/>
              </w:rPr>
              <w:t>Passes TC-11</w:t>
            </w:r>
          </w:p>
        </w:tc>
      </w:tr>
      <w:tr>
        <w:tc>
          <w:tcPr>
            <w:tcW w:type="dxa" w:w="1440"/>
            <w:shd w:fill="FFFFFF"/>
            <w:tcMar>
              <w:top w:w="70" w:type="dxa"/>
              <w:bottom w:w="70" w:type="dxa"/>
              <w:left w:w="100" w:type="dxa"/>
              <w:right w:w="100" w:type="dxa"/>
            </w:tcMar>
          </w:tcPr>
          <w:p>
            <w:pPr>
              <w:spacing w:after="0"/>
            </w:pPr>
            <w:r>
              <w:rPr>
                <w:rFonts w:ascii="Calibri" w:hAnsi="Calibri"/>
                <w:color w:val="0F172A"/>
                <w:sz w:val="18"/>
              </w:rPr>
              <w:t>SR-11</w:t>
            </w:r>
          </w:p>
        </w:tc>
        <w:tc>
          <w:tcPr>
            <w:tcW w:type="dxa" w:w="2304"/>
            <w:shd w:fill="FFFFFF"/>
            <w:tcMar>
              <w:top w:w="70" w:type="dxa"/>
              <w:bottom w:w="70" w:type="dxa"/>
              <w:left w:w="100" w:type="dxa"/>
              <w:right w:w="100" w:type="dxa"/>
            </w:tcMar>
          </w:tcPr>
          <w:p>
            <w:pPr>
              <w:spacing w:after="0"/>
            </w:pPr>
            <w:r>
              <w:rPr>
                <w:rFonts w:ascii="Calibri" w:hAnsi="Calibri"/>
                <w:color w:val="0F172A"/>
                <w:sz w:val="18"/>
              </w:rPr>
              <w:t>Zero Hard-Coded Secrets</w:t>
            </w:r>
          </w:p>
        </w:tc>
        <w:tc>
          <w:tcPr>
            <w:tcW w:type="dxa" w:w="3600"/>
            <w:shd w:fill="FFFFFF"/>
            <w:tcMar>
              <w:top w:w="70" w:type="dxa"/>
              <w:bottom w:w="70" w:type="dxa"/>
              <w:left w:w="100" w:type="dxa"/>
              <w:right w:w="100" w:type="dxa"/>
            </w:tcMar>
          </w:tcPr>
          <w:p>
            <w:pPr>
              <w:spacing w:after="0"/>
            </w:pPr>
            <w:r>
              <w:rPr>
                <w:rFonts w:ascii="Calibri" w:hAnsi="Calibri"/>
                <w:color w:val="0F172A"/>
                <w:sz w:val="18"/>
              </w:rPr>
              <w:t>Configuration and cryptographic keys loaded strictly via environment variables (.env).</w:t>
            </w:r>
          </w:p>
        </w:tc>
        <w:tc>
          <w:tcPr>
            <w:tcW w:type="dxa" w:w="2016"/>
            <w:shd w:fill="FFFFFF"/>
            <w:tcMar>
              <w:top w:w="70" w:type="dxa"/>
              <w:bottom w:w="70" w:type="dxa"/>
              <w:left w:w="100" w:type="dxa"/>
              <w:right w:w="100" w:type="dxa"/>
            </w:tcMar>
          </w:tcPr>
          <w:p>
            <w:pPr>
              <w:spacing w:after="0"/>
            </w:pPr>
            <w:r>
              <w:rPr>
                <w:rFonts w:ascii="Calibri" w:hAnsi="Calibri"/>
                <w:color w:val="0F172A"/>
                <w:sz w:val="18"/>
              </w:rPr>
              <w:t>Passes Bandit SAST Scan</w:t>
            </w:r>
          </w:p>
        </w:tc>
      </w:tr>
      <w:tr>
        <w:tc>
          <w:tcPr>
            <w:tcW w:type="dxa" w:w="1440"/>
            <w:shd w:fill="F8FAFC"/>
            <w:tcMar>
              <w:top w:w="70" w:type="dxa"/>
              <w:bottom w:w="70" w:type="dxa"/>
              <w:left w:w="100" w:type="dxa"/>
              <w:right w:w="100" w:type="dxa"/>
            </w:tcMar>
          </w:tcPr>
          <w:p>
            <w:pPr>
              <w:spacing w:after="0"/>
            </w:pPr>
            <w:r>
              <w:rPr>
                <w:rFonts w:ascii="Calibri" w:hAnsi="Calibri"/>
                <w:color w:val="0F172A"/>
                <w:sz w:val="18"/>
              </w:rPr>
              <w:t>SR-12</w:t>
            </w:r>
          </w:p>
        </w:tc>
        <w:tc>
          <w:tcPr>
            <w:tcW w:type="dxa" w:w="2304"/>
            <w:shd w:fill="F8FAFC"/>
            <w:tcMar>
              <w:top w:w="70" w:type="dxa"/>
              <w:bottom w:w="70" w:type="dxa"/>
              <w:left w:w="100" w:type="dxa"/>
              <w:right w:w="100" w:type="dxa"/>
            </w:tcMar>
          </w:tcPr>
          <w:p>
            <w:pPr>
              <w:spacing w:after="0"/>
            </w:pPr>
            <w:r>
              <w:rPr>
                <w:rFonts w:ascii="Calibri" w:hAnsi="Calibri"/>
                <w:color w:val="0F172A"/>
                <w:sz w:val="18"/>
              </w:rPr>
              <w:t>Concurrency Race Defense</w:t>
            </w:r>
          </w:p>
        </w:tc>
        <w:tc>
          <w:tcPr>
            <w:tcW w:type="dxa" w:w="3600"/>
            <w:shd w:fill="F8FAFC"/>
            <w:tcMar>
              <w:top w:w="70" w:type="dxa"/>
              <w:bottom w:w="70" w:type="dxa"/>
              <w:left w:w="100" w:type="dxa"/>
              <w:right w:w="100" w:type="dxa"/>
            </w:tcMar>
          </w:tcPr>
          <w:p>
            <w:pPr>
              <w:spacing w:after="0"/>
            </w:pPr>
            <w:r>
              <w:rPr>
                <w:rFonts w:ascii="Calibri" w:hAnsi="Calibri"/>
                <w:color w:val="0F172A"/>
                <w:sz w:val="18"/>
              </w:rPr>
              <w:t>SELECT ... FOR UPDATE pessimistic row-level locking eliminates TOCTOU overbooking.</w:t>
            </w:r>
          </w:p>
        </w:tc>
        <w:tc>
          <w:tcPr>
            <w:tcW w:type="dxa" w:w="2016"/>
            <w:shd w:fill="F8FAFC"/>
            <w:tcMar>
              <w:top w:w="70" w:type="dxa"/>
              <w:bottom w:w="70" w:type="dxa"/>
              <w:left w:w="100" w:type="dxa"/>
              <w:right w:w="100" w:type="dxa"/>
            </w:tcMar>
          </w:tcPr>
          <w:p>
            <w:pPr>
              <w:spacing w:after="0"/>
            </w:pPr>
            <w:r>
              <w:rPr>
                <w:rFonts w:ascii="Calibri" w:hAnsi="Calibri"/>
                <w:color w:val="0F172A"/>
                <w:sz w:val="18"/>
              </w:rPr>
              <w:t>Passes TC-09, TC-16</w:t>
            </w:r>
          </w:p>
        </w:tc>
      </w:tr>
    </w:tbl>
    <w:p>
      <w:pPr>
        <w:spacing w:after="160"/>
      </w:pP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Pr>
          <w:p>
            <w:pPr>
              <w:spacing w:after="60"/>
            </w:pPr>
            <w:r>
              <w:rPr>
                <w:rFonts w:ascii="Calibri" w:hAnsi="Calibri"/>
                <w:b/>
                <w:color w:val="1E3A8A"/>
                <w:sz w:val="21"/>
              </w:rPr>
              <w:t>🔒 CRITICAL SECURITY INVARIANT: DATABASE-LEVEL CAPACITY &amp; DUPLICATE ENFORCEMENT</w:t>
              <w:br/>
            </w:r>
            <w:r>
              <w:rPr>
                <w:rFonts w:ascii="Calibri" w:hAnsi="Calibri"/>
                <w:color w:val="0F172A"/>
                <w:sz w:val="19"/>
              </w:rPr>
              <w:t>Frontend checks (such as disabling a button) are treated as UI conveniences only. The system physically guarantees zero duplicate active registrations through the database constraint 'UNIQUE(event_id, student_id) WHERE status = "CONFIRMED"' and eliminates overbooking through row-level locking.</w:t>
            </w:r>
          </w:p>
        </w:tc>
      </w:tr>
    </w:tbl>
    <w:p>
      <w:pPr>
        <w:spacing w:after="120"/>
      </w:pPr>
    </w:p>
    <w:p>
      <w:pPr>
        <w:keepNext/>
        <w:spacing w:before="320" w:after="120"/>
      </w:pPr>
      <w:r>
        <w:rPr>
          <w:rFonts w:ascii="Arial" w:hAnsi="Arial"/>
          <w:b/>
          <w:color w:val="1E3A8A"/>
          <w:sz w:val="30"/>
        </w:rPr>
        <w:t>7. Core Business Rules &amp; Invariants</w:t>
      </w:r>
    </w:p>
    <w:p>
      <w:pPr>
        <w:spacing w:after="100" w:line="276" w:lineRule="auto"/>
      </w:pPr>
      <w:r>
        <w:rPr>
          <w:rFonts w:ascii="Calibri" w:hAnsi="Calibri"/>
          <w:b/>
          <w:color w:val="0F172A"/>
          <w:sz w:val="20"/>
        </w:rPr>
        <w:t xml:space="preserve">BR-01 (Capacity Ceiling): </w:t>
      </w:r>
      <w:r>
        <w:rPr>
          <w:rFonts w:ascii="Calibri" w:hAnsi="Calibri"/>
          <w:i w:val="0"/>
          <w:color w:val="0F172A"/>
          <w:sz w:val="20"/>
        </w:rPr>
        <w:t>Confirmed attendee count must never exceed the event's participant limit under any concurrency load.</w:t>
      </w:r>
    </w:p>
    <w:p>
      <w:pPr>
        <w:spacing w:after="100" w:line="276" w:lineRule="auto"/>
      </w:pPr>
      <w:r>
        <w:rPr>
          <w:rFonts w:ascii="Calibri" w:hAnsi="Calibri"/>
          <w:b/>
          <w:color w:val="0F172A"/>
          <w:sz w:val="20"/>
        </w:rPr>
        <w:t xml:space="preserve">BR-02 (Zero Duplication): </w:t>
      </w:r>
      <w:r>
        <w:rPr>
          <w:rFonts w:ascii="Calibri" w:hAnsi="Calibri"/>
          <w:i w:val="0"/>
          <w:color w:val="0F172A"/>
          <w:sz w:val="20"/>
        </w:rPr>
        <w:t>A student cannot hold more than one active CONFIRMED registration for the same event at any time.</w:t>
      </w:r>
    </w:p>
    <w:p>
      <w:pPr>
        <w:spacing w:after="100" w:line="276" w:lineRule="auto"/>
      </w:pPr>
      <w:r>
        <w:rPr>
          <w:rFonts w:ascii="Calibri" w:hAnsi="Calibri"/>
          <w:b/>
          <w:color w:val="0F172A"/>
          <w:sz w:val="20"/>
        </w:rPr>
        <w:t xml:space="preserve">BR-03 (Cancellation Ownership): </w:t>
      </w:r>
      <w:r>
        <w:rPr>
          <w:rFonts w:ascii="Calibri" w:hAnsi="Calibri"/>
          <w:i w:val="0"/>
          <w:color w:val="0F172A"/>
          <w:sz w:val="20"/>
        </w:rPr>
        <w:t>A student can cancel only their own registration. Administrators may perform overrides.</w:t>
      </w:r>
    </w:p>
    <w:p>
      <w:pPr>
        <w:spacing w:after="100" w:line="276" w:lineRule="auto"/>
      </w:pPr>
      <w:r>
        <w:rPr>
          <w:rFonts w:ascii="Calibri" w:hAnsi="Calibri"/>
          <w:b/>
          <w:color w:val="0F172A"/>
          <w:sz w:val="20"/>
        </w:rPr>
        <w:t xml:space="preserve">BR-04 (Organizer Isolation): </w:t>
      </w:r>
      <w:r>
        <w:rPr>
          <w:rFonts w:ascii="Calibri" w:hAnsi="Calibri"/>
          <w:i w:val="0"/>
          <w:color w:val="0F172A"/>
          <w:sz w:val="20"/>
        </w:rPr>
        <w:t>A faculty coordinator can view participant lists and close registration only for events they created.</w:t>
      </w:r>
    </w:p>
    <w:p>
      <w:pPr>
        <w:spacing w:after="100" w:line="276" w:lineRule="auto"/>
      </w:pPr>
      <w:r>
        <w:rPr>
          <w:rFonts w:ascii="Calibri" w:hAnsi="Calibri"/>
          <w:b/>
          <w:color w:val="0F172A"/>
          <w:sz w:val="20"/>
        </w:rPr>
        <w:t xml:space="preserve">BR-05 (Closed Event Invariant): </w:t>
      </w:r>
      <w:r>
        <w:rPr>
          <w:rFonts w:ascii="Calibri" w:hAnsi="Calibri"/>
          <w:i w:val="0"/>
          <w:color w:val="0F172A"/>
          <w:sz w:val="20"/>
        </w:rPr>
        <w:t>Events marked CLOSED or CANCELLED, or past their registration deadline, reject all incoming registrations.</w:t>
      </w:r>
    </w:p>
    <w:p>
      <w:pPr>
        <w:spacing w:after="100" w:line="276" w:lineRule="auto"/>
      </w:pPr>
      <w:r>
        <w:rPr>
          <w:rFonts w:ascii="Calibri" w:hAnsi="Calibri"/>
          <w:b/>
          <w:color w:val="0F172A"/>
          <w:sz w:val="20"/>
        </w:rPr>
        <w:t xml:space="preserve">BR-06 (Capacity Recovery): </w:t>
      </w:r>
      <w:r>
        <w:rPr>
          <w:rFonts w:ascii="Calibri" w:hAnsi="Calibri"/>
          <w:i w:val="0"/>
          <w:color w:val="0F172A"/>
          <w:sz w:val="20"/>
        </w:rPr>
        <w:t>Successful registration cancellation immediately restores 1 seat of capacity to the event pool.</w:t>
      </w:r>
    </w:p>
    <w:p>
      <w:pPr>
        <w:keepNext/>
        <w:spacing w:before="320" w:after="120"/>
      </w:pPr>
      <w:r>
        <w:rPr>
          <w:rFonts w:ascii="Arial" w:hAnsi="Arial"/>
          <w:b/>
          <w:color w:val="1E3A8A"/>
          <w:sz w:val="30"/>
        </w:rPr>
        <w:t>8. Requirements Traceability Summary</w:t>
      </w:r>
    </w:p>
    <w:p>
      <w:pPr>
        <w:spacing w:after="100" w:line="276" w:lineRule="auto"/>
      </w:pPr>
      <w:r>
        <w:rPr>
          <w:rFonts w:ascii="Calibri" w:hAnsi="Calibri"/>
          <w:i w:val="0"/>
          <w:color w:val="0F172A"/>
          <w:sz w:val="20"/>
        </w:rPr>
        <w:t>Every requirement traces bi-directionally across the software development lifecycle: from Problem Statement to SRS, Use Cases, Analysis Models, ER Schemas, DFDs, STRIDE Threats, User Stories, Implementation files, and automated Test Cases. See Section 13 in SRS.docx and docs/traceability-matrix.md for the complete matrix.</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Secure Software Engineering Laboratory Examination | Confidential Academic Deliverable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Online Event Registration System (EventHub) | System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