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AcmeCorp 2026 Annual Financial Report</w:t>
      </w:r>
    </w:p>
    <w:p>
      <w:r>
        <w:t>1. Financial Summary</w:t>
        <w:br/>
        <w:t>AcmeCorp experienced high financial performance throughout the fiscal year 2026.</w:t>
      </w:r>
    </w:p>
    <w:p>
      <w:r>
        <w:t>2. Key Corporate Metrics</w:t>
        <w:br/>
        <w:t>According to final audited metrics, AcmeCorp achieved an annual revenue growth of 15% for the fiscal year 2026, driven primarily by new retail subscriptions. This high annual growth represents a significant improvement.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