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AcmeCorp 2026 Business &amp; AI Transformation Strategy</w:t>
      </w:r>
    </w:p>
    <w:p>
      <w:pPr>
        <w:pStyle w:val="Heading1"/>
      </w:pPr>
      <w:r>
        <w:t>1. Executive Summary</w:t>
      </w:r>
    </w:p>
    <w:p>
      <w:r>
        <w:t>AcmeCorp is embarking on a strategic alignment to integrate modern artificial intelligence solutions across all business processes. The goal is to drive operational efficiency and enhance overall research synthesis capability.</w:t>
      </w:r>
    </w:p>
    <w:p>
      <w:pPr>
        <w:pStyle w:val="Heading1"/>
      </w:pPr>
      <w:r>
        <w:t>2. Main AI Transformation Priorities</w:t>
      </w:r>
    </w:p>
    <w:p>
      <w:r>
        <w:t>Based on internal operational benchmarks, the AI priorities for 2026 are:</w:t>
      </w:r>
    </w:p>
    <w:p>
      <w:r>
        <w:t>- Priority 1: Customer Operations Modernization. Introduce conversational AI agents to automate 60% of tier-1 support queries.</w:t>
      </w:r>
    </w:p>
    <w:p>
      <w:r>
        <w:t>- Priority 2: Strategy Development &amp; Financial Modeling. Use deep predictive models to index multi-source files for market analysis.</w:t>
      </w:r>
    </w:p>
    <w:p>
      <w:r>
        <w:t>- Priority 3: Supply Chain Automation. Optimize logistics pathings using reinforcement models.</w:t>
      </w:r>
    </w:p>
    <w:p>
      <w:pPr>
        <w:pStyle w:val="Heading1"/>
      </w:pPr>
      <w:r>
        <w:t>3. High Opportunity Business Areas</w:t>
      </w:r>
    </w:p>
    <w:p>
      <w:r>
        <w:t>Our research indicates that the Customer Operations business area has the strongest AI opportunity and highest immediate business value, because automating tier-1 customer inquiries can reduce overhead costs by 40% and immediately boost customer experience metrics.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