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AcmeCorp hiring and Workforce Profile Log</w:t>
      </w:r>
    </w:p>
    <w:p>
      <w:pPr>
        <w:pStyle w:val="Heading1"/>
      </w:pPr>
      <w:r>
        <w:t>1. Staffing Metrics</w:t>
      </w:r>
    </w:p>
    <w:p>
      <w:r>
        <w:t>As of Q4 2026, AcmeCorp employs a total headcount of 1,200 active employees. Staffing numbers grew by 8% overall, mostly in strategy and customer support roles to support the upcoming AI transformation initiative.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