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SUMMARY: Clauses Omitted from NAIDA Service Commitment</w:t>
      </w:r>
    </w:p>
    <w:p>
      <w:r>
        <w:t>This summary lists important clauses intentionally omitted from NAIDA's short commitment and explains the impact on AIGENIE:</w:t>
      </w:r>
    </w:p>
    <w:p>
      <w:pPr>
        <w:pStyle w:val="ListBullet"/>
      </w:pPr>
      <w:r>
        <w:rPr>
          <w:b/>
        </w:rPr>
        <w:t xml:space="preserve">Indemnification: </w:t>
      </w:r>
      <w:r>
        <w:t>Without indemnity, AIGENIE cannot require NAIDA to defend or pay damages arising from NAIDA's negligence or data breaches.</w:t>
      </w:r>
    </w:p>
    <w:p>
      <w:pPr>
        <w:pStyle w:val="ListBullet"/>
      </w:pPr>
      <w:r>
        <w:rPr>
          <w:b/>
        </w:rPr>
        <w:t xml:space="preserve">Confidentiality and Data Protection: </w:t>
      </w:r>
      <w:r>
        <w:t>No binding obligations to protect Customer confidential information or to follow data processing instructions.</w:t>
      </w:r>
    </w:p>
    <w:p>
      <w:pPr>
        <w:pStyle w:val="ListBullet"/>
      </w:pPr>
      <w:r>
        <w:rPr>
          <w:b/>
        </w:rPr>
        <w:t xml:space="preserve">Service Credits / Remedies: </w:t>
      </w:r>
      <w:r>
        <w:t>No enforceable financial remedies or credits for missed SLAs; limited recourse for extended outages.</w:t>
      </w:r>
    </w:p>
    <w:p>
      <w:pPr>
        <w:pStyle w:val="ListBullet"/>
      </w:pPr>
      <w:r>
        <w:rPr>
          <w:b/>
        </w:rPr>
        <w:t xml:space="preserve">Audit Rights: </w:t>
      </w:r>
      <w:r>
        <w:t>AIGENIE cannot audit NAIDA's systems or performance to verify compliance.</w:t>
      </w:r>
    </w:p>
    <w:p>
      <w:pPr>
        <w:pStyle w:val="ListBullet"/>
      </w:pPr>
      <w:r>
        <w:rPr>
          <w:b/>
        </w:rPr>
        <w:t xml:space="preserve">Termination Rights: </w:t>
      </w:r>
      <w:r>
        <w:t>No clear termination for cause or convenience tied to SLA breaches.</w:t>
      </w:r>
    </w:p>
    <w:p>
      <w:pPr>
        <w:pStyle w:val="ListBullet"/>
      </w:pPr>
      <w:r>
        <w:rPr>
          <w:b/>
        </w:rPr>
        <w:t xml:space="preserve">Insurance Requirements: </w:t>
      </w:r>
      <w:r>
        <w:t>No contractual requirement for cyber or professional liability insurance with minimum limits.</w:t>
      </w:r>
    </w:p>
    <w:p>
      <w:pPr>
        <w:pStyle w:val="ListBullet"/>
      </w:pPr>
      <w:r>
        <w:rPr>
          <w:b/>
        </w:rPr>
        <w:t xml:space="preserve">Breach Notification &amp; Cooperation: </w:t>
      </w:r>
      <w:r>
        <w:t>No time-bound notification or cooperation obligations for security incidents.</w:t>
      </w:r>
    </w:p>
    <w:p>
      <w:pPr>
        <w:pStyle w:val="ListBullet"/>
      </w:pPr>
      <w:r>
        <w:rPr>
          <w:b/>
        </w:rPr>
        <w:t xml:space="preserve">Governing Law and Dispute Resolution: </w:t>
      </w:r>
      <w:r>
        <w:t>No stated governing law or dispute resolution procedure.</w:t>
      </w:r>
    </w:p>
    <w:p>
      <w:r>
        <w:br/>
        <w:t>Recommendation: Require NAIDA to execute a full SOW or MSA including binding indemnity, confidentiality/data processing clauses with breach-notification timelines, enforceable SLA remedies, audit rights, insurance minimums, and clear termination rights tied to SLA breaches.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