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NAIDA SERVICE COMMITMENT</w:t>
      </w:r>
    </w:p>
    <w:p>
      <w:r>
        <w:t>Date: [Date]</w:t>
        <w:br/>
        <w:t>To: AIGENIE</w:t>
        <w:br/>
        <w:t>From: NAIDA ("Supplier")</w:t>
      </w:r>
    </w:p>
    <w:p>
      <w:r>
        <w:t>1. Commitment</w:t>
        <w:br/>
        <w:t>NAIDA agrees to provide remediation services and reasonable support to AIGENIE for incidents affecting Services provided by NAIDA.</w:t>
      </w:r>
    </w:p>
    <w:p>
      <w:r>
        <w:t>2. Incident Resolution Timeframes</w:t>
        <w:br/>
        <w:t>- High Risk: commercially reasonable efforts to resolve within 30 days from notification.</w:t>
        <w:br/>
        <w:t>- Medium Risk: commercially reasonable efforts to resolve within 60 days from notification.</w:t>
        <w:br/>
        <w:t>- Low Risk: commercially reasonable efforts to resolve within 90 days from notification.</w:t>
      </w:r>
    </w:p>
    <w:p>
      <w:r>
        <w:t>3. Response</w:t>
        <w:br/>
        <w:t>NAIDA will acknowledge receipt of incident reports within 48 hours and provide periodic updates at intervals it deems appropriate.</w:t>
      </w:r>
    </w:p>
    <w:p>
      <w:r>
        <w:t>4. Communications and Contacts</w:t>
        <w:br/>
        <w:t>NAIDA will provide a primary contact and escalation points for coordination.</w:t>
      </w:r>
    </w:p>
    <w:p>
      <w:r>
        <w:t>5. Fees</w:t>
        <w:br/>
        <w:t>Services will be provided under NAIDA's standard billing schedule or as agreed in a purchase order.</w:t>
      </w:r>
    </w:p>
    <w:p>
      <w:r>
        <w:t>6. Subcontracting</w:t>
        <w:br/>
        <w:t>NAIDA may subcontract work to third parties as needed.</w:t>
      </w:r>
    </w:p>
    <w:p>
      <w:r>
        <w:t>7. Signature</w:t>
        <w:br/>
        <w:t>NAIDA: _______________________    Date: ________</w:t>
      </w:r>
    </w:p>
    <w:p>
      <w:r>
        <w:br/>
        <w:t>Note: This document is a short supplier commitment and does not include a full set of contractual protections for the customer.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