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Aegis: Operational Security Assessment</w:t>
      </w:r>
    </w:p>
    <w:p>
      <w:r>
        <w:b/>
        <w:t>Executive Summary:</w:t>
      </w:r>
      <w:r>
        <w:t> All endpoints have achieved zero-trust compliance. Embedded cryptographic containers use client-side PBKDF2 with 2M rounds.</w:t>
      </w:r>
    </w:p>
    <w:p>
      <w:pPr>
        <w:pStyle w:val="Heading2"/>
      </w:pPr>
      <w:r>
        <w:t>Key Findings and Protocols</w:t>
      </w:r>
    </w:p>
    <w:p>
      <w:r>
        <w:t>1. Standalone decryptors are air-gapped without remote calls.</w:t>
      </w:r>
    </w:p>
    <w:p>
      <w:r>
        <w:t>2. Spreadsheets and Documents render in rich native visual interfaces.</w:t>
      </w:r>
    </w:p>
  </w:body>
</w:document>
</file>