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120" w:before="480"/>
        <w:jc w:val="center"/>
      </w:pPr>
      <w:r>
        <w:rPr>
          <w:rFonts w:ascii="Calibri" w:cs="Calibri" w:eastAsia="Calibri" w:hAnsi="Calibri"/>
          <w:b/>
          <w:bCs/>
          <w:color w:val="1B3A6B"/>
          <w:sz w:val="72"/>
          <w:szCs w:val="72"/>
        </w:rPr>
        <w:t xml:space="preserve">COLLEGE MANAGEMENT SYSTEM</w:t>
      </w:r>
    </w:p>
    <w:p>
      <w:pPr>
        <w:spacing w:after="120" w:before="480"/>
        <w:jc w:val="center"/>
      </w:pPr>
      <w:r>
        <w:rPr>
          <w:rFonts w:ascii="Calibri" w:cs="Calibri" w:eastAsia="Calibri" w:hAnsi="Calibri"/>
          <w:b/>
          <w:bCs/>
          <w:color w:val="1B3A6B"/>
          <w:sz w:val="72"/>
          <w:szCs w:val="72"/>
        </w:rPr>
        <w:t xml:space="preserve">SOFTWARE REQUIREMENTS SPECIFICATION</w:t>
      </w:r>
    </w:p>
    <w:p>
      <w:pPr>
        <w:spacing w:after="0" w:before="120"/>
      </w:pPr>
      <w:r>
        <w:t xml:space="preserve"/>
      </w:r>
    </w:p>
    <w:p>
      <w:pPr>
        <w:spacing w:after="80" w:before="80"/>
        <w:jc w:val="center"/>
      </w:pPr>
      <w:r>
        <w:rPr>
          <w:rFonts w:ascii="Calibri" w:cs="Calibri" w:eastAsia="Calibri" w:hAnsi="Calibri"/>
          <w:color w:val="2E75B6"/>
          <w:sz w:val="36"/>
          <w:szCs w:val="36"/>
        </w:rPr>
        <w:t xml:space="preserve">Enterprise Edition — Full Platform</w:t>
      </w:r>
    </w:p>
    <w:p>
      <w:pPr>
        <w:spacing w:after="0" w:before="200"/>
      </w:pPr>
      <w:r>
        <w:t xml:space="preserve"/>
      </w:r>
    </w:p>
    <w:p>
      <w:pPr>
        <w:jc w:val="center"/>
      </w:pPr>
      <w:r>
        <w:rPr>
          <w:color w:val="2E75B6"/>
          <w:sz w:val="20"/>
          <w:szCs w:val="20"/>
        </w:rPr>
        <w:t xml:space="preserve">────────────────────────────────────────────────────────</w:t>
      </w:r>
    </w:p>
    <w:p>
      <w:pPr>
        <w:spacing w:after="0" w:before="80"/>
      </w:pPr>
      <w:r>
        <w:t xml:space="preserve"/>
      </w:r>
    </w:p>
    <w:p>
      <w:pPr>
        <w:spacing w:after="40" w:before="60"/>
        <w:jc w:val="center"/>
      </w:pPr>
      <w:r>
        <w:rPr>
          <w:rFonts w:ascii="Calibri" w:cs="Calibri" w:eastAsia="Calibri" w:hAnsi="Calibri"/>
          <w:b/>
          <w:bCs/>
          <w:color w:val="1B3A6B"/>
          <w:sz w:val="22"/>
          <w:szCs w:val="22"/>
        </w:rPr>
        <w:t xml:space="preserve">Document Version: </w:t>
      </w:r>
      <w:r>
        <w:rPr>
          <w:rFonts w:ascii="Calibri" w:cs="Calibri" w:eastAsia="Calibri" w:hAnsi="Calibri"/>
          <w:color w:val="1A1A2E"/>
          <w:sz w:val="22"/>
          <w:szCs w:val="22"/>
        </w:rPr>
        <w:t xml:space="preserve">1.0</w:t>
      </w:r>
    </w:p>
    <w:p>
      <w:pPr>
        <w:spacing w:after="40" w:before="60"/>
        <w:jc w:val="center"/>
      </w:pPr>
      <w:r>
        <w:rPr>
          <w:rFonts w:ascii="Calibri" w:cs="Calibri" w:eastAsia="Calibri" w:hAnsi="Calibri"/>
          <w:b/>
          <w:bCs/>
          <w:color w:val="1B3A6B"/>
          <w:sz w:val="22"/>
          <w:szCs w:val="22"/>
        </w:rPr>
        <w:t xml:space="preserve">Document Type: </w:t>
      </w:r>
      <w:r>
        <w:rPr>
          <w:rFonts w:ascii="Calibri" w:cs="Calibri" w:eastAsia="Calibri" w:hAnsi="Calibri"/>
          <w:color w:val="1A1A2E"/>
          <w:sz w:val="22"/>
          <w:szCs w:val="22"/>
        </w:rPr>
        <w:t xml:space="preserve">Software Requirements Specification (SRS)</w:t>
      </w:r>
    </w:p>
    <w:p>
      <w:pPr>
        <w:spacing w:after="40" w:before="60"/>
        <w:jc w:val="center"/>
      </w:pPr>
      <w:r>
        <w:rPr>
          <w:rFonts w:ascii="Calibri" w:cs="Calibri" w:eastAsia="Calibri" w:hAnsi="Calibri"/>
          <w:b/>
          <w:bCs/>
          <w:color w:val="1B3A6B"/>
          <w:sz w:val="22"/>
          <w:szCs w:val="22"/>
        </w:rPr>
        <w:t xml:space="preserve">Project Title: </w:t>
      </w:r>
      <w:r>
        <w:rPr>
          <w:rFonts w:ascii="Calibri" w:cs="Calibri" w:eastAsia="Calibri" w:hAnsi="Calibri"/>
          <w:color w:val="1A1A2E"/>
          <w:sz w:val="22"/>
          <w:szCs w:val="22"/>
        </w:rPr>
        <w:t xml:space="preserve">College Management System — Enterprise Platform</w:t>
      </w:r>
    </w:p>
    <w:p>
      <w:pPr>
        <w:spacing w:after="40" w:before="60"/>
        <w:jc w:val="center"/>
      </w:pPr>
      <w:r>
        <w:rPr>
          <w:rFonts w:ascii="Calibri" w:cs="Calibri" w:eastAsia="Calibri" w:hAnsi="Calibri"/>
          <w:b/>
          <w:bCs/>
          <w:color w:val="1B3A6B"/>
          <w:sz w:val="22"/>
          <w:szCs w:val="22"/>
        </w:rPr>
        <w:t xml:space="preserve">Prepared For: </w:t>
      </w:r>
      <w:r>
        <w:rPr>
          <w:rFonts w:ascii="Calibri" w:cs="Calibri" w:eastAsia="Calibri" w:hAnsi="Calibri"/>
          <w:color w:val="1A1A2E"/>
          <w:sz w:val="22"/>
          <w:szCs w:val="22"/>
        </w:rPr>
        <w:t xml:space="preserve">College Administration &amp; Stakeholders</w:t>
      </w:r>
    </w:p>
    <w:p>
      <w:pPr>
        <w:spacing w:after="40" w:before="60"/>
        <w:jc w:val="center"/>
      </w:pPr>
      <w:r>
        <w:rPr>
          <w:rFonts w:ascii="Calibri" w:cs="Calibri" w:eastAsia="Calibri" w:hAnsi="Calibri"/>
          <w:b/>
          <w:bCs/>
          <w:color w:val="1B3A6B"/>
          <w:sz w:val="22"/>
          <w:szCs w:val="22"/>
        </w:rPr>
        <w:t xml:space="preserve">Date: </w:t>
      </w:r>
      <w:r>
        <w:rPr>
          <w:rFonts w:ascii="Calibri" w:cs="Calibri" w:eastAsia="Calibri" w:hAnsi="Calibri"/>
          <w:color w:val="1A1A2E"/>
          <w:sz w:val="22"/>
          <w:szCs w:val="22"/>
        </w:rPr>
        <w:t xml:space="preserve">April 2026</w:t>
      </w:r>
    </w:p>
    <w:p>
      <w:pPr>
        <w:spacing w:after="40" w:before="60"/>
        <w:jc w:val="center"/>
      </w:pPr>
      <w:r>
        <w:rPr>
          <w:rFonts w:ascii="Calibri" w:cs="Calibri" w:eastAsia="Calibri" w:hAnsi="Calibri"/>
          <w:b/>
          <w:bCs/>
          <w:color w:val="1B3A6B"/>
          <w:sz w:val="22"/>
          <w:szCs w:val="22"/>
        </w:rPr>
        <w:t xml:space="preserve">Status: </w:t>
      </w:r>
      <w:r>
        <w:rPr>
          <w:rFonts w:ascii="Calibri" w:cs="Calibri" w:eastAsia="Calibri" w:hAnsi="Calibri"/>
          <w:color w:val="1A1A2E"/>
          <w:sz w:val="22"/>
          <w:szCs w:val="22"/>
        </w:rPr>
        <w:t xml:space="preserve">Final Draft</w:t>
      </w:r>
    </w:p>
    <w:p>
      <w:pPr>
        <w:spacing w:after="0" w:before="80"/>
      </w:pPr>
      <w:r>
        <w:t xml:space="preserve"/>
      </w:r>
    </w:p>
    <w:p>
      <w:pPr>
        <w:jc w:val="center"/>
      </w:pPr>
      <w:r>
        <w:rPr>
          <w:color w:val="2E75B6"/>
          <w:sz w:val="20"/>
          <w:szCs w:val="20"/>
        </w:rPr>
        <w:t xml:space="preserve">────────────────────────────────────────────────────────</w:t>
      </w:r>
    </w:p>
    <w:p>
      <w:pPr>
        <w:spacing w:after="0" w:before="200"/>
      </w:pPr>
      <w:r>
        <w:t xml:space="preserve"/>
      </w:r>
    </w:p>
    <w:p>
      <w:pPr>
        <w:jc w:val="center"/>
      </w:pPr>
      <w:r>
        <w:rPr>
          <w:rFonts w:ascii="Calibri" w:cs="Calibri" w:eastAsia="Calibri" w:hAnsi="Calibri"/>
          <w:b/>
          <w:bCs/>
          <w:color w:val="2E75B6"/>
          <w:sz w:val="20"/>
          <w:szCs w:val="20"/>
        </w:rPr>
        <w:t xml:space="preserve">CONFIDENTIAL — For Internal Use Only</w:t>
      </w:r>
    </w:p>
    <w:p>
      <w:r>
        <w:br w:type="page"/>
      </w:r>
    </w:p>
    <w:p>
      <w:pPr>
        <w:pStyle w:val="Heading1"/>
        <w:pBdr>
          <w:bottom w:val="single" w:color="2E75B6" w:sz="6" w:space="4"/>
        </w:pBdr>
        <w:spacing w:after="200" w:before="400"/>
      </w:pPr>
      <w:r>
        <w:rPr>
          <w:rFonts w:ascii="Calibri" w:cs="Calibri" w:eastAsia="Calibri" w:hAnsi="Calibri"/>
          <w:b/>
          <w:bCs/>
          <w:color w:val="1B3A6B"/>
          <w:sz w:val="40"/>
          <w:szCs w:val="40"/>
        </w:rPr>
        <w:t xml:space="preserve">Table of Contents</w:t>
      </w:r>
    </w:p>
    <w:p>
      <w:pPr>
        <w:pStyle w:val="ListParagraph"/>
        <w:numPr>
          <w:ilvl w:val="0"/>
          <w:numId w:val="2"/>
        </w:numPr>
        <w:spacing w:after="40" w:before="40"/>
      </w:pPr>
      <w:r>
        <w:rPr>
          <w:rFonts w:ascii="Calibri" w:cs="Calibri" w:eastAsia="Calibri" w:hAnsi="Calibri"/>
          <w:color w:val="1A1A2E"/>
          <w:sz w:val="20"/>
          <w:szCs w:val="20"/>
        </w:rPr>
        <w:t xml:space="preserve">1. Introduction &amp; Project Overview</w:t>
      </w:r>
    </w:p>
    <w:p>
      <w:pPr>
        <w:pStyle w:val="ListParagraph"/>
        <w:numPr>
          <w:ilvl w:val="0"/>
          <w:numId w:val="2"/>
        </w:numPr>
        <w:spacing w:after="40" w:before="40"/>
      </w:pPr>
      <w:r>
        <w:rPr>
          <w:rFonts w:ascii="Calibri" w:cs="Calibri" w:eastAsia="Calibri" w:hAnsi="Calibri"/>
          <w:color w:val="1A1A2E"/>
          <w:sz w:val="20"/>
          <w:szCs w:val="20"/>
        </w:rPr>
        <w:t xml:space="preserve">2. System Scope &amp; Objectives</w:t>
      </w:r>
    </w:p>
    <w:p>
      <w:pPr>
        <w:pStyle w:val="ListParagraph"/>
        <w:numPr>
          <w:ilvl w:val="0"/>
          <w:numId w:val="2"/>
        </w:numPr>
        <w:spacing w:after="40" w:before="40"/>
      </w:pPr>
      <w:r>
        <w:rPr>
          <w:rFonts w:ascii="Calibri" w:cs="Calibri" w:eastAsia="Calibri" w:hAnsi="Calibri"/>
          <w:color w:val="1A1A2E"/>
          <w:sz w:val="20"/>
          <w:szCs w:val="20"/>
        </w:rPr>
        <w:t xml:space="preserve">3. Stakeholders &amp; Personas</w:t>
      </w:r>
    </w:p>
    <w:p>
      <w:pPr>
        <w:pStyle w:val="ListParagraph"/>
        <w:numPr>
          <w:ilvl w:val="0"/>
          <w:numId w:val="2"/>
        </w:numPr>
        <w:spacing w:after="40" w:before="40"/>
      </w:pPr>
      <w:r>
        <w:rPr>
          <w:rFonts w:ascii="Calibri" w:cs="Calibri" w:eastAsia="Calibri" w:hAnsi="Calibri"/>
          <w:color w:val="1A1A2E"/>
          <w:sz w:val="20"/>
          <w:szCs w:val="20"/>
        </w:rPr>
        <w:t xml:space="preserve">4. Platform Support &amp; Technology Stack</w:t>
      </w:r>
    </w:p>
    <w:p>
      <w:pPr>
        <w:pStyle w:val="ListParagraph"/>
        <w:numPr>
          <w:ilvl w:val="0"/>
          <w:numId w:val="2"/>
        </w:numPr>
        <w:spacing w:after="40" w:before="40"/>
      </w:pPr>
      <w:r>
        <w:rPr>
          <w:rFonts w:ascii="Calibri" w:cs="Calibri" w:eastAsia="Calibri" w:hAnsi="Calibri"/>
          <w:color w:val="1A1A2E"/>
          <w:sz w:val="20"/>
          <w:szCs w:val="20"/>
        </w:rPr>
        <w:t xml:space="preserve">5. Student Lifecycle Management</w:t>
      </w:r>
    </w:p>
    <w:p>
      <w:pPr>
        <w:pStyle w:val="ListParagraph"/>
        <w:numPr>
          <w:ilvl w:val="0"/>
          <w:numId w:val="2"/>
        </w:numPr>
        <w:spacing w:after="40" w:before="40"/>
      </w:pPr>
      <w:r>
        <w:rPr>
          <w:rFonts w:ascii="Calibri" w:cs="Calibri" w:eastAsia="Calibri" w:hAnsi="Calibri"/>
          <w:color w:val="1A1A2E"/>
          <w:sz w:val="20"/>
          <w:szCs w:val="20"/>
        </w:rPr>
        <w:t xml:space="preserve">6. Staff &amp; HR Management</w:t>
      </w:r>
    </w:p>
    <w:p>
      <w:pPr>
        <w:pStyle w:val="ListParagraph"/>
        <w:numPr>
          <w:ilvl w:val="0"/>
          <w:numId w:val="2"/>
        </w:numPr>
        <w:spacing w:after="40" w:before="40"/>
      </w:pPr>
      <w:r>
        <w:rPr>
          <w:rFonts w:ascii="Calibri" w:cs="Calibri" w:eastAsia="Calibri" w:hAnsi="Calibri"/>
          <w:color w:val="1A1A2E"/>
          <w:sz w:val="20"/>
          <w:szCs w:val="20"/>
        </w:rPr>
        <w:t xml:space="preserve">7. Academic Operations</w:t>
      </w:r>
    </w:p>
    <w:p>
      <w:pPr>
        <w:pStyle w:val="ListParagraph"/>
        <w:numPr>
          <w:ilvl w:val="0"/>
          <w:numId w:val="2"/>
        </w:numPr>
        <w:spacing w:after="40" w:before="40"/>
      </w:pPr>
      <w:r>
        <w:rPr>
          <w:rFonts w:ascii="Calibri" w:cs="Calibri" w:eastAsia="Calibri" w:hAnsi="Calibri"/>
          <w:color w:val="1A1A2E"/>
          <w:sz w:val="20"/>
          <w:szCs w:val="20"/>
        </w:rPr>
        <w:t xml:space="preserve">8. Fee &amp; Finance Management</w:t>
      </w:r>
    </w:p>
    <w:p>
      <w:pPr>
        <w:pStyle w:val="ListParagraph"/>
        <w:numPr>
          <w:ilvl w:val="0"/>
          <w:numId w:val="2"/>
        </w:numPr>
        <w:spacing w:after="40" w:before="40"/>
      </w:pPr>
      <w:r>
        <w:rPr>
          <w:rFonts w:ascii="Calibri" w:cs="Calibri" w:eastAsia="Calibri" w:hAnsi="Calibri"/>
          <w:color w:val="1A1A2E"/>
          <w:sz w:val="20"/>
          <w:szCs w:val="20"/>
        </w:rPr>
        <w:t xml:space="preserve">9. Hostel Management</w:t>
      </w:r>
    </w:p>
    <w:p>
      <w:pPr>
        <w:pStyle w:val="ListParagraph"/>
        <w:numPr>
          <w:ilvl w:val="0"/>
          <w:numId w:val="2"/>
        </w:numPr>
        <w:spacing w:after="40" w:before="40"/>
      </w:pPr>
      <w:r>
        <w:rPr>
          <w:rFonts w:ascii="Calibri" w:cs="Calibri" w:eastAsia="Calibri" w:hAnsi="Calibri"/>
          <w:color w:val="1A1A2E"/>
          <w:sz w:val="20"/>
          <w:szCs w:val="20"/>
        </w:rPr>
        <w:t xml:space="preserve">10. Transport Management</w:t>
      </w:r>
    </w:p>
    <w:p>
      <w:pPr>
        <w:pStyle w:val="ListParagraph"/>
        <w:numPr>
          <w:ilvl w:val="0"/>
          <w:numId w:val="2"/>
        </w:numPr>
        <w:spacing w:after="40" w:before="40"/>
      </w:pPr>
      <w:r>
        <w:rPr>
          <w:rFonts w:ascii="Calibri" w:cs="Calibri" w:eastAsia="Calibri" w:hAnsi="Calibri"/>
          <w:color w:val="1A1A2E"/>
          <w:sz w:val="20"/>
          <w:szCs w:val="20"/>
        </w:rPr>
        <w:t xml:space="preserve">11. Library Management</w:t>
      </w:r>
    </w:p>
    <w:p>
      <w:pPr>
        <w:pStyle w:val="ListParagraph"/>
        <w:numPr>
          <w:ilvl w:val="0"/>
          <w:numId w:val="2"/>
        </w:numPr>
        <w:spacing w:after="40" w:before="40"/>
      </w:pPr>
      <w:r>
        <w:rPr>
          <w:rFonts w:ascii="Calibri" w:cs="Calibri" w:eastAsia="Calibri" w:hAnsi="Calibri"/>
          <w:color w:val="1A1A2E"/>
          <w:sz w:val="20"/>
          <w:szCs w:val="20"/>
        </w:rPr>
        <w:t xml:space="preserve">12. Attendance Management</w:t>
      </w:r>
    </w:p>
    <w:p>
      <w:pPr>
        <w:pStyle w:val="ListParagraph"/>
        <w:numPr>
          <w:ilvl w:val="0"/>
          <w:numId w:val="2"/>
        </w:numPr>
        <w:spacing w:after="40" w:before="40"/>
      </w:pPr>
      <w:r>
        <w:rPr>
          <w:rFonts w:ascii="Calibri" w:cs="Calibri" w:eastAsia="Calibri" w:hAnsi="Calibri"/>
          <w:color w:val="1A1A2E"/>
          <w:sz w:val="20"/>
          <w:szCs w:val="20"/>
        </w:rPr>
        <w:t xml:space="preserve">13. Examination &amp; Results</w:t>
      </w:r>
    </w:p>
    <w:p>
      <w:pPr>
        <w:pStyle w:val="ListParagraph"/>
        <w:numPr>
          <w:ilvl w:val="0"/>
          <w:numId w:val="2"/>
        </w:numPr>
        <w:spacing w:after="40" w:before="40"/>
      </w:pPr>
      <w:r>
        <w:rPr>
          <w:rFonts w:ascii="Calibri" w:cs="Calibri" w:eastAsia="Calibri" w:hAnsi="Calibri"/>
          <w:color w:val="1A1A2E"/>
          <w:sz w:val="20"/>
          <w:szCs w:val="20"/>
        </w:rPr>
        <w:t xml:space="preserve">14. Cultural &amp; Events Management</w:t>
      </w:r>
    </w:p>
    <w:p>
      <w:pPr>
        <w:pStyle w:val="ListParagraph"/>
        <w:numPr>
          <w:ilvl w:val="0"/>
          <w:numId w:val="2"/>
        </w:numPr>
        <w:spacing w:after="40" w:before="40"/>
      </w:pPr>
      <w:r>
        <w:rPr>
          <w:rFonts w:ascii="Calibri" w:cs="Calibri" w:eastAsia="Calibri" w:hAnsi="Calibri"/>
          <w:color w:val="1A1A2E"/>
          <w:sz w:val="20"/>
          <w:szCs w:val="20"/>
        </w:rPr>
        <w:t xml:space="preserve">15. Communication &amp; Notifications</w:t>
      </w:r>
    </w:p>
    <w:p>
      <w:pPr>
        <w:pStyle w:val="ListParagraph"/>
        <w:numPr>
          <w:ilvl w:val="0"/>
          <w:numId w:val="2"/>
        </w:numPr>
        <w:spacing w:after="40" w:before="40"/>
      </w:pPr>
      <w:r>
        <w:rPr>
          <w:rFonts w:ascii="Calibri" w:cs="Calibri" w:eastAsia="Calibri" w:hAnsi="Calibri"/>
          <w:color w:val="1A1A2E"/>
          <w:sz w:val="20"/>
          <w:szCs w:val="20"/>
        </w:rPr>
        <w:t xml:space="preserve">16. Payment Gateway Integration</w:t>
      </w:r>
    </w:p>
    <w:p>
      <w:pPr>
        <w:pStyle w:val="ListParagraph"/>
        <w:numPr>
          <w:ilvl w:val="0"/>
          <w:numId w:val="2"/>
        </w:numPr>
        <w:spacing w:after="40" w:before="40"/>
      </w:pPr>
      <w:r>
        <w:rPr>
          <w:rFonts w:ascii="Calibri" w:cs="Calibri" w:eastAsia="Calibri" w:hAnsi="Calibri"/>
          <w:color w:val="1A1A2E"/>
          <w:sz w:val="20"/>
          <w:szCs w:val="20"/>
        </w:rPr>
        <w:t xml:space="preserve">17. Inventory &amp; Asset Management</w:t>
      </w:r>
    </w:p>
    <w:p>
      <w:pPr>
        <w:pStyle w:val="ListParagraph"/>
        <w:numPr>
          <w:ilvl w:val="0"/>
          <w:numId w:val="2"/>
        </w:numPr>
        <w:spacing w:after="40" w:before="40"/>
      </w:pPr>
      <w:r>
        <w:rPr>
          <w:rFonts w:ascii="Calibri" w:cs="Calibri" w:eastAsia="Calibri" w:hAnsi="Calibri"/>
          <w:color w:val="1A1A2E"/>
          <w:sz w:val="20"/>
          <w:szCs w:val="20"/>
        </w:rPr>
        <w:t xml:space="preserve">18. Security &amp; Compliance</w:t>
      </w:r>
    </w:p>
    <w:p>
      <w:pPr>
        <w:pStyle w:val="ListParagraph"/>
        <w:numPr>
          <w:ilvl w:val="0"/>
          <w:numId w:val="2"/>
        </w:numPr>
        <w:spacing w:after="40" w:before="40"/>
      </w:pPr>
      <w:r>
        <w:rPr>
          <w:rFonts w:ascii="Calibri" w:cs="Calibri" w:eastAsia="Calibri" w:hAnsi="Calibri"/>
          <w:color w:val="1A1A2E"/>
          <w:sz w:val="20"/>
          <w:szCs w:val="20"/>
        </w:rPr>
        <w:t xml:space="preserve">19. Reports &amp; Analytics</w:t>
      </w:r>
    </w:p>
    <w:p>
      <w:pPr>
        <w:pStyle w:val="ListParagraph"/>
        <w:numPr>
          <w:ilvl w:val="0"/>
          <w:numId w:val="2"/>
        </w:numPr>
        <w:spacing w:after="40" w:before="40"/>
      </w:pPr>
      <w:r>
        <w:rPr>
          <w:rFonts w:ascii="Calibri" w:cs="Calibri" w:eastAsia="Calibri" w:hAnsi="Calibri"/>
          <w:color w:val="1A1A2E"/>
          <w:sz w:val="20"/>
          <w:szCs w:val="20"/>
        </w:rPr>
        <w:t xml:space="preserve">20. IT Administration &amp; System Configuration</w:t>
      </w:r>
    </w:p>
    <w:p>
      <w:pPr>
        <w:pStyle w:val="ListParagraph"/>
        <w:numPr>
          <w:ilvl w:val="0"/>
          <w:numId w:val="2"/>
        </w:numPr>
        <w:spacing w:after="40" w:before="40"/>
      </w:pPr>
      <w:r>
        <w:rPr>
          <w:rFonts w:ascii="Calibri" w:cs="Calibri" w:eastAsia="Calibri" w:hAnsi="Calibri"/>
          <w:color w:val="1A1A2E"/>
          <w:sz w:val="20"/>
          <w:szCs w:val="20"/>
        </w:rPr>
        <w:t xml:space="preserve">21. Non-Functional Requirements</w:t>
      </w:r>
    </w:p>
    <w:p>
      <w:pPr>
        <w:pStyle w:val="ListParagraph"/>
        <w:numPr>
          <w:ilvl w:val="0"/>
          <w:numId w:val="2"/>
        </w:numPr>
        <w:spacing w:after="40" w:before="40"/>
      </w:pPr>
      <w:r>
        <w:rPr>
          <w:rFonts w:ascii="Calibri" w:cs="Calibri" w:eastAsia="Calibri" w:hAnsi="Calibri"/>
          <w:color w:val="1A1A2E"/>
          <w:sz w:val="20"/>
          <w:szCs w:val="20"/>
        </w:rPr>
        <w:t xml:space="preserve">22. Integration Requirements</w:t>
      </w:r>
    </w:p>
    <w:p>
      <w:pPr>
        <w:pStyle w:val="ListParagraph"/>
        <w:numPr>
          <w:ilvl w:val="0"/>
          <w:numId w:val="2"/>
        </w:numPr>
        <w:spacing w:after="40" w:before="40"/>
      </w:pPr>
      <w:r>
        <w:rPr>
          <w:rFonts w:ascii="Calibri" w:cs="Calibri" w:eastAsia="Calibri" w:hAnsi="Calibri"/>
          <w:color w:val="1A1A2E"/>
          <w:sz w:val="20"/>
          <w:szCs w:val="20"/>
        </w:rPr>
        <w:t xml:space="preserve">23. Data Migration &amp; Onboarding</w:t>
      </w:r>
    </w:p>
    <w:p>
      <w:pPr>
        <w:pStyle w:val="ListParagraph"/>
        <w:numPr>
          <w:ilvl w:val="0"/>
          <w:numId w:val="2"/>
        </w:numPr>
        <w:spacing w:after="40" w:before="40"/>
      </w:pPr>
      <w:r>
        <w:rPr>
          <w:rFonts w:ascii="Calibri" w:cs="Calibri" w:eastAsia="Calibri" w:hAnsi="Calibri"/>
          <w:color w:val="1A1A2E"/>
          <w:sz w:val="20"/>
          <w:szCs w:val="20"/>
        </w:rPr>
        <w:t xml:space="preserve">24. Roles &amp; Permissions Matrix</w:t>
      </w:r>
    </w:p>
    <w:p>
      <w:pPr>
        <w:pStyle w:val="ListParagraph"/>
        <w:numPr>
          <w:ilvl w:val="0"/>
          <w:numId w:val="2"/>
        </w:numPr>
        <w:spacing w:after="40" w:before="40"/>
      </w:pPr>
      <w:r>
        <w:rPr>
          <w:rFonts w:ascii="Calibri" w:cs="Calibri" w:eastAsia="Calibri" w:hAnsi="Calibri"/>
          <w:color w:val="1A1A2E"/>
          <w:sz w:val="20"/>
          <w:szCs w:val="20"/>
        </w:rPr>
        <w:t xml:space="preserve">25. Glossary</w:t>
      </w:r>
    </w:p>
    <w:p>
      <w:r>
        <w:br w:type="page"/>
      </w:r>
    </w:p>
    <w:p>
      <w:pPr>
        <w:pStyle w:val="Heading1"/>
        <w:pBdr>
          <w:bottom w:val="single" w:color="2E75B6" w:sz="6" w:space="4"/>
        </w:pBdr>
        <w:spacing w:after="200" w:before="400"/>
      </w:pPr>
      <w:r>
        <w:rPr>
          <w:rFonts w:ascii="Calibri" w:cs="Calibri" w:eastAsia="Calibri" w:hAnsi="Calibri"/>
          <w:b/>
          <w:bCs/>
          <w:color w:val="1B3A6B"/>
          <w:sz w:val="40"/>
          <w:szCs w:val="40"/>
        </w:rPr>
        <w:t xml:space="preserve">1. Introduction &amp; Project Overview</w:t>
      </w:r>
    </w:p>
    <w:p>
      <w:pPr>
        <w:spacing w:after="80" w:before="60"/>
      </w:pPr>
      <w:r>
        <w:rPr>
          <w:rFonts w:ascii="Calibri" w:cs="Calibri" w:eastAsia="Calibri" w:hAnsi="Calibri"/>
          <w:color w:val="1A1A2E"/>
          <w:sz w:val="20"/>
          <w:szCs w:val="20"/>
        </w:rPr>
        <w:t xml:space="preserve">This document is the complete Software Requirements Specification (SRS) for the College Management System (CMS) — a full-scale enterprise platform designed to digitize and automate all operations of a modern educational institution.</w:t>
      </w:r>
    </w:p>
    <w:p>
      <w:pPr>
        <w:spacing w:after="80" w:before="60"/>
      </w:pPr>
      <w:r>
        <w:rPr>
          <w:rFonts w:ascii="Calibri" w:cs="Calibri" w:eastAsia="Calibri" w:hAnsi="Calibri"/>
          <w:color w:val="1A1A2E"/>
          <w:sz w:val="20"/>
          <w:szCs w:val="20"/>
        </w:rPr>
        <w:t xml:space="preserve">The system is designed to serve colleges, universities, and multi-campus institutions. It covers every touchpoint of academic and administrative operations — from student admission to alumni management, and from faculty payroll to hostel allocation — through a unified, role-based platform accessible via web, Android, and iOS.</w:t>
      </w:r>
    </w:p>
    <w:p>
      <w:pPr>
        <w:pStyle w:val="Heading2"/>
        <w:spacing w:after="120" w:before="280"/>
      </w:pPr>
      <w:r>
        <w:rPr>
          <w:rFonts w:ascii="Calibri" w:cs="Calibri" w:eastAsia="Calibri" w:hAnsi="Calibri"/>
          <w:b/>
          <w:bCs/>
          <w:color w:val="2E75B6"/>
          <w:sz w:val="30"/>
          <w:szCs w:val="30"/>
        </w:rPr>
        <w:t xml:space="preserve">1.1 Purpose</w:t>
      </w:r>
    </w:p>
    <w:p>
      <w:pPr>
        <w:spacing w:after="80" w:before="60"/>
      </w:pPr>
      <w:r>
        <w:rPr>
          <w:rFonts w:ascii="Calibri" w:cs="Calibri" w:eastAsia="Calibri" w:hAnsi="Calibri"/>
          <w:color w:val="1A1A2E"/>
          <w:sz w:val="20"/>
          <w:szCs w:val="20"/>
        </w:rPr>
        <w:t xml:space="preserve">The purpose of this document is to define the complete functional and non-functional requirements of the CMS platform. It is intended for use by project stakeholders, business analysts, developers, QA engineers, and system administrators.</w:t>
      </w:r>
    </w:p>
    <w:p>
      <w:pPr>
        <w:pStyle w:val="Heading2"/>
        <w:spacing w:after="120" w:before="280"/>
      </w:pPr>
      <w:r>
        <w:rPr>
          <w:rFonts w:ascii="Calibri" w:cs="Calibri" w:eastAsia="Calibri" w:hAnsi="Calibri"/>
          <w:b/>
          <w:bCs/>
          <w:color w:val="2E75B6"/>
          <w:sz w:val="30"/>
          <w:szCs w:val="30"/>
        </w:rPr>
        <w:t xml:space="preserve">1.2 Document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Term</w:t>
            </w:r>
          </w:p>
        </w:tc>
        <w:tc>
          <w:tcPr>
            <w:tcW w:type="dxa" w:w="686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SRS</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Software Requirements Specification</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CMS</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College Management System</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HOD</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Head of Department</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SLA</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Service Level Agreement</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RBAC</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Role-Based Access Control</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API</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Application Programming Interface</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SSO</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Single Sign-On</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MFA</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Multi-Factor Authentication</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PG</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Payment Gateway</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UX</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User Experience</w:t>
            </w:r>
          </w:p>
        </w:tc>
      </w:tr>
    </w:tbl>
    <w:p>
      <w:r>
        <w:br w:type="page"/>
      </w:r>
    </w:p>
    <w:p>
      <w:pPr>
        <w:pStyle w:val="Heading1"/>
        <w:pBdr>
          <w:bottom w:val="single" w:color="2E75B6" w:sz="6" w:space="4"/>
        </w:pBdr>
        <w:spacing w:after="200" w:before="400"/>
      </w:pPr>
      <w:r>
        <w:rPr>
          <w:rFonts w:ascii="Calibri" w:cs="Calibri" w:eastAsia="Calibri" w:hAnsi="Calibri"/>
          <w:b/>
          <w:bCs/>
          <w:color w:val="1B3A6B"/>
          <w:sz w:val="40"/>
          <w:szCs w:val="40"/>
        </w:rPr>
        <w:t xml:space="preserve">2. System Scope &amp; Objectives</w:t>
      </w:r>
    </w:p>
    <w:p>
      <w:pPr>
        <w:pStyle w:val="Heading2"/>
        <w:spacing w:after="120" w:before="280"/>
      </w:pPr>
      <w:r>
        <w:rPr>
          <w:rFonts w:ascii="Calibri" w:cs="Calibri" w:eastAsia="Calibri" w:hAnsi="Calibri"/>
          <w:b/>
          <w:bCs/>
          <w:color w:val="2E75B6"/>
          <w:sz w:val="30"/>
          <w:szCs w:val="30"/>
        </w:rPr>
        <w:t xml:space="preserve">2.1 System Overview</w:t>
      </w:r>
    </w:p>
    <w:p>
      <w:pPr>
        <w:spacing w:after="80" w:before="60"/>
      </w:pPr>
      <w:r>
        <w:rPr>
          <w:rFonts w:ascii="Calibri" w:cs="Calibri" w:eastAsia="Calibri" w:hAnsi="Calibri"/>
          <w:color w:val="1A1A2E"/>
          <w:sz w:val="20"/>
          <w:szCs w:val="20"/>
        </w:rPr>
        <w:t xml:space="preserve">The CMS is an enterprise-grade, multi-tenant, cloud-native application that consolidates all college operations into a single integrated platform. It replaces fragmented departmental software with a unified system providing real-time data, audit trails, and actionable analytics.</w:t>
      </w:r>
    </w:p>
    <w:p>
      <w:pPr>
        <w:pStyle w:val="Heading2"/>
        <w:spacing w:after="120" w:before="280"/>
      </w:pPr>
      <w:r>
        <w:rPr>
          <w:rFonts w:ascii="Calibri" w:cs="Calibri" w:eastAsia="Calibri" w:hAnsi="Calibri"/>
          <w:b/>
          <w:bCs/>
          <w:color w:val="2E75B6"/>
          <w:sz w:val="30"/>
          <w:szCs w:val="30"/>
        </w:rPr>
        <w:t xml:space="preserve">2.2 Business Objectives</w:t>
      </w:r>
    </w:p>
    <w:p>
      <w:pPr>
        <w:pStyle w:val="ListParagraph"/>
        <w:numPr>
          <w:ilvl w:val="0"/>
          <w:numId w:val="3"/>
        </w:numPr>
        <w:spacing w:after="40" w:before="40"/>
      </w:pPr>
      <w:r>
        <w:rPr>
          <w:rFonts w:ascii="Calibri" w:cs="Calibri" w:eastAsia="Calibri" w:hAnsi="Calibri"/>
          <w:color w:val="1A1A2E"/>
          <w:sz w:val="20"/>
          <w:szCs w:val="20"/>
        </w:rPr>
        <w:t xml:space="preserve">Eliminate paper-based processes and manual data entry across all departments</w:t>
      </w:r>
    </w:p>
    <w:p>
      <w:pPr>
        <w:pStyle w:val="ListParagraph"/>
        <w:numPr>
          <w:ilvl w:val="0"/>
          <w:numId w:val="3"/>
        </w:numPr>
        <w:spacing w:after="40" w:before="40"/>
      </w:pPr>
      <w:r>
        <w:rPr>
          <w:rFonts w:ascii="Calibri" w:cs="Calibri" w:eastAsia="Calibri" w:hAnsi="Calibri"/>
          <w:color w:val="1A1A2E"/>
          <w:sz w:val="20"/>
          <w:szCs w:val="20"/>
        </w:rPr>
        <w:t xml:space="preserve">Provide real-time visibility into student academic progress, attendance, and fee status</w:t>
      </w:r>
    </w:p>
    <w:p>
      <w:pPr>
        <w:pStyle w:val="ListParagraph"/>
        <w:numPr>
          <w:ilvl w:val="0"/>
          <w:numId w:val="3"/>
        </w:numPr>
        <w:spacing w:after="40" w:before="40"/>
      </w:pPr>
      <w:r>
        <w:rPr>
          <w:rFonts w:ascii="Calibri" w:cs="Calibri" w:eastAsia="Calibri" w:hAnsi="Calibri"/>
          <w:color w:val="1A1A2E"/>
          <w:sz w:val="20"/>
          <w:szCs w:val="20"/>
        </w:rPr>
        <w:t xml:space="preserve">Enable secure, role-based access for all personas from a single platform</w:t>
      </w:r>
    </w:p>
    <w:p>
      <w:pPr>
        <w:pStyle w:val="ListParagraph"/>
        <w:numPr>
          <w:ilvl w:val="0"/>
          <w:numId w:val="3"/>
        </w:numPr>
        <w:spacing w:after="40" w:before="40"/>
      </w:pPr>
      <w:r>
        <w:rPr>
          <w:rFonts w:ascii="Calibri" w:cs="Calibri" w:eastAsia="Calibri" w:hAnsi="Calibri"/>
          <w:color w:val="1A1A2E"/>
          <w:sz w:val="20"/>
          <w:szCs w:val="20"/>
        </w:rPr>
        <w:t xml:space="preserve">Automate routine administrative tasks to reduce workload and human error</w:t>
      </w:r>
    </w:p>
    <w:p>
      <w:pPr>
        <w:pStyle w:val="ListParagraph"/>
        <w:numPr>
          <w:ilvl w:val="0"/>
          <w:numId w:val="3"/>
        </w:numPr>
        <w:spacing w:after="40" w:before="40"/>
      </w:pPr>
      <w:r>
        <w:rPr>
          <w:rFonts w:ascii="Calibri" w:cs="Calibri" w:eastAsia="Calibri" w:hAnsi="Calibri"/>
          <w:color w:val="1A1A2E"/>
          <w:sz w:val="20"/>
          <w:szCs w:val="20"/>
        </w:rPr>
        <w:t xml:space="preserve">Provide students and parents with transparent access to academic and financial information</w:t>
      </w:r>
    </w:p>
    <w:p>
      <w:pPr>
        <w:pStyle w:val="ListParagraph"/>
        <w:numPr>
          <w:ilvl w:val="0"/>
          <w:numId w:val="3"/>
        </w:numPr>
        <w:spacing w:after="40" w:before="40"/>
      </w:pPr>
      <w:r>
        <w:rPr>
          <w:rFonts w:ascii="Calibri" w:cs="Calibri" w:eastAsia="Calibri" w:hAnsi="Calibri"/>
          <w:color w:val="1A1A2E"/>
          <w:sz w:val="20"/>
          <w:szCs w:val="20"/>
        </w:rPr>
        <w:t xml:space="preserve">Support multi-campus and multi-department operations under a single tenant</w:t>
      </w:r>
    </w:p>
    <w:p>
      <w:pPr>
        <w:pStyle w:val="ListParagraph"/>
        <w:numPr>
          <w:ilvl w:val="0"/>
          <w:numId w:val="3"/>
        </w:numPr>
        <w:spacing w:after="40" w:before="40"/>
      </w:pPr>
      <w:r>
        <w:rPr>
          <w:rFonts w:ascii="Calibri" w:cs="Calibri" w:eastAsia="Calibri" w:hAnsi="Calibri"/>
          <w:color w:val="1A1A2E"/>
          <w:sz w:val="20"/>
          <w:szCs w:val="20"/>
        </w:rPr>
        <w:t xml:space="preserve">Ensure data security, regulatory compliance, and audit readiness</w:t>
      </w:r>
    </w:p>
    <w:p>
      <w:pPr>
        <w:pStyle w:val="ListParagraph"/>
        <w:numPr>
          <w:ilvl w:val="0"/>
          <w:numId w:val="3"/>
        </w:numPr>
        <w:spacing w:after="40" w:before="40"/>
      </w:pPr>
      <w:r>
        <w:rPr>
          <w:rFonts w:ascii="Calibri" w:cs="Calibri" w:eastAsia="Calibri" w:hAnsi="Calibri"/>
          <w:color w:val="1A1A2E"/>
          <w:sz w:val="20"/>
          <w:szCs w:val="20"/>
        </w:rPr>
        <w:t xml:space="preserve">Enable data-driven decision-making through integrated analytics and reports</w:t>
      </w:r>
    </w:p>
    <w:p>
      <w:pPr>
        <w:pStyle w:val="ListParagraph"/>
        <w:numPr>
          <w:ilvl w:val="0"/>
          <w:numId w:val="3"/>
        </w:numPr>
        <w:spacing w:after="40" w:before="40"/>
      </w:pPr>
      <w:r>
        <w:rPr>
          <w:rFonts w:ascii="Calibri" w:cs="Calibri" w:eastAsia="Calibri" w:hAnsi="Calibri"/>
          <w:color w:val="1A1A2E"/>
          <w:sz w:val="20"/>
          <w:szCs w:val="20"/>
        </w:rPr>
        <w:t xml:space="preserve">Streamline financial operations including fee collection, payroll, and expense tracking</w:t>
      </w:r>
    </w:p>
    <w:p>
      <w:pPr>
        <w:pStyle w:val="ListParagraph"/>
        <w:numPr>
          <w:ilvl w:val="0"/>
          <w:numId w:val="3"/>
        </w:numPr>
        <w:spacing w:after="40" w:before="40"/>
      </w:pPr>
      <w:r>
        <w:rPr>
          <w:rFonts w:ascii="Calibri" w:cs="Calibri" w:eastAsia="Calibri" w:hAnsi="Calibri"/>
          <w:color w:val="1A1A2E"/>
          <w:sz w:val="20"/>
          <w:szCs w:val="20"/>
        </w:rPr>
        <w:t xml:space="preserve">Facilitate seamless communication between students, parents, faculty, and administration</w:t>
      </w:r>
    </w:p>
    <w:p>
      <w:pPr>
        <w:pStyle w:val="Heading2"/>
        <w:spacing w:after="120" w:before="280"/>
      </w:pPr>
      <w:r>
        <w:rPr>
          <w:rFonts w:ascii="Calibri" w:cs="Calibri" w:eastAsia="Calibri" w:hAnsi="Calibri"/>
          <w:b/>
          <w:bCs/>
          <w:color w:val="2E75B6"/>
          <w:sz w:val="30"/>
          <w:szCs w:val="30"/>
        </w:rPr>
        <w:t xml:space="preserve">2.3 System Boundaries</w:t>
      </w:r>
    </w:p>
    <w:p>
      <w:pPr>
        <w:spacing w:after="80" w:before="60"/>
      </w:pPr>
      <w:r>
        <w:rPr>
          <w:rFonts w:ascii="Calibri" w:cs="Calibri" w:eastAsia="Calibri" w:hAnsi="Calibri"/>
          <w:color w:val="1A1A2E"/>
          <w:sz w:val="20"/>
          <w:szCs w:val="20"/>
        </w:rPr>
        <w:t xml:space="preserve">The CMS encompasses: student admission through alumni management, academic scheduling and results, staff recruitment through payroll, hostel and transport allocation, library management, fee collection, event management, and institutional communications. The system interfaces with external payment gateways, SMS/email providers, biometric systems, and government portals via APIs.</w:t>
      </w:r>
    </w:p>
    <w:p>
      <w:r>
        <w:br w:type="page"/>
      </w:r>
    </w:p>
    <w:p>
      <w:pPr>
        <w:pStyle w:val="Heading1"/>
        <w:pBdr>
          <w:bottom w:val="single" w:color="2E75B6" w:sz="6" w:space="4"/>
        </w:pBdr>
        <w:spacing w:after="200" w:before="400"/>
      </w:pPr>
      <w:r>
        <w:rPr>
          <w:rFonts w:ascii="Calibri" w:cs="Calibri" w:eastAsia="Calibri" w:hAnsi="Calibri"/>
          <w:b/>
          <w:bCs/>
          <w:color w:val="1B3A6B"/>
          <w:sz w:val="40"/>
          <w:szCs w:val="40"/>
        </w:rPr>
        <w:t xml:space="preserve">3. Stakeholders &amp; Personas</w:t>
      </w:r>
    </w:p>
    <w:p>
      <w:pPr>
        <w:spacing w:after="80" w:before="60"/>
      </w:pPr>
      <w:r>
        <w:rPr>
          <w:rFonts w:ascii="Calibri" w:cs="Calibri" w:eastAsia="Calibri" w:hAnsi="Calibri"/>
          <w:color w:val="1A1A2E"/>
          <w:sz w:val="20"/>
          <w:szCs w:val="20"/>
        </w:rPr>
        <w:t xml:space="preserve">The system serves 13 primary personas. Each persona has a distinct role, set of responsibilities, and system permissions.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5260"/>
      </w:tblGrid>
      <w:tr>
        <w:tc>
          <w:tcPr>
            <w:tcW w:type="dxa" w:w="16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t>
            </w:r>
          </w:p>
        </w:tc>
        <w:tc>
          <w:tcPr>
            <w:tcW w:type="dxa" w:w="25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Persona</w:t>
            </w:r>
          </w:p>
        </w:tc>
        <w:tc>
          <w:tcPr>
            <w:tcW w:type="dxa" w:w="526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Primary Responsibilities in CMS</w:t>
            </w:r>
          </w:p>
        </w:tc>
      </w:tr>
      <w:tr>
        <w:tc>
          <w:tcPr>
            <w:tcW w:type="dxa" w:w="1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1</w:t>
            </w:r>
          </w:p>
        </w:tc>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Super Admin</w:t>
            </w:r>
          </w:p>
        </w:tc>
        <w:tc>
          <w:tcPr>
            <w:tcW w:type="dxa" w:w="52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Full system control — tenant management, global configuration, system health monitoring, audit log access, all-module administration</w:t>
            </w:r>
          </w:p>
        </w:tc>
      </w:tr>
      <w:tr>
        <w:tc>
          <w:tcPr>
            <w:tcW w:type="dxa" w:w="1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2</w:t>
            </w:r>
          </w:p>
        </w:tc>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College Admin</w:t>
            </w:r>
          </w:p>
        </w:tc>
        <w:tc>
          <w:tcPr>
            <w:tcW w:type="dxa" w:w="52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Day-to-day administration, admissions processing, bulk data management, report generation, announcements</w:t>
            </w:r>
          </w:p>
        </w:tc>
      </w:tr>
      <w:tr>
        <w:tc>
          <w:tcPr>
            <w:tcW w:type="dxa" w:w="1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3</w:t>
            </w:r>
          </w:p>
        </w:tc>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Principal / Dean</w:t>
            </w:r>
          </w:p>
        </w:tc>
        <w:tc>
          <w:tcPr>
            <w:tcW w:type="dxa" w:w="52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Academic oversight, policy approvals, staff performance review, institutional reporting, strategic analytics</w:t>
            </w:r>
          </w:p>
        </w:tc>
      </w:tr>
      <w:tr>
        <w:tc>
          <w:tcPr>
            <w:tcW w:type="dxa" w:w="1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4</w:t>
            </w:r>
          </w:p>
        </w:tc>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HOD</w:t>
            </w:r>
          </w:p>
        </w:tc>
        <w:tc>
          <w:tcPr>
            <w:tcW w:type="dxa" w:w="52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Department scheduling, faculty assignment, semester planning, department-level student and staff oversight</w:t>
            </w:r>
          </w:p>
        </w:tc>
      </w:tr>
      <w:tr>
        <w:tc>
          <w:tcPr>
            <w:tcW w:type="dxa" w:w="1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5</w:t>
            </w:r>
          </w:p>
        </w:tc>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Faculty</w:t>
            </w:r>
          </w:p>
        </w:tc>
        <w:tc>
          <w:tcPr>
            <w:tcW w:type="dxa" w:w="52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Class scheduling, attendance marking, grade entry, assignment management, student communication</w:t>
            </w:r>
          </w:p>
        </w:tc>
      </w:tr>
      <w:tr>
        <w:tc>
          <w:tcPr>
            <w:tcW w:type="dxa" w:w="1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6</w:t>
            </w:r>
          </w:p>
        </w:tc>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Student</w:t>
            </w:r>
          </w:p>
        </w:tc>
        <w:tc>
          <w:tcPr>
            <w:tcW w:type="dxa" w:w="52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Academic dashboard, fee payment, attendance view, assignment submission, library access, hostel requests</w:t>
            </w:r>
          </w:p>
        </w:tc>
      </w:tr>
      <w:tr>
        <w:tc>
          <w:tcPr>
            <w:tcW w:type="dxa" w:w="1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7</w:t>
            </w:r>
          </w:p>
        </w:tc>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Parent</w:t>
            </w:r>
          </w:p>
        </w:tc>
        <w:tc>
          <w:tcPr>
            <w:tcW w:type="dxa" w:w="52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Child's academic progress, attendance, fee payment, notifications, communication with faculty</w:t>
            </w:r>
          </w:p>
        </w:tc>
      </w:tr>
      <w:tr>
        <w:tc>
          <w:tcPr>
            <w:tcW w:type="dxa" w:w="1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8</w:t>
            </w:r>
          </w:p>
        </w:tc>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HR Team</w:t>
            </w:r>
          </w:p>
        </w:tc>
        <w:tc>
          <w:tcPr>
            <w:tcW w:type="dxa" w:w="52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Staff recruitment, onboarding, leave management, payroll processing, performance evaluation</w:t>
            </w:r>
          </w:p>
        </w:tc>
      </w:tr>
      <w:tr>
        <w:tc>
          <w:tcPr>
            <w:tcW w:type="dxa" w:w="1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9</w:t>
            </w:r>
          </w:p>
        </w:tc>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Finance Team</w:t>
            </w:r>
          </w:p>
        </w:tc>
        <w:tc>
          <w:tcPr>
            <w:tcW w:type="dxa" w:w="52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Fee structure management, fee collection, receipts, reconciliation, payment gateway oversight, financial reports</w:t>
            </w:r>
          </w:p>
        </w:tc>
      </w:tr>
      <w:tr>
        <w:tc>
          <w:tcPr>
            <w:tcW w:type="dxa" w:w="1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10</w:t>
            </w:r>
          </w:p>
        </w:tc>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Librarian</w:t>
            </w:r>
          </w:p>
        </w:tc>
        <w:tc>
          <w:tcPr>
            <w:tcW w:type="dxa" w:w="52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Book catalog management, issue/return tracking, fine collection, digital resources, inventory</w:t>
            </w:r>
          </w:p>
        </w:tc>
      </w:tr>
      <w:tr>
        <w:tc>
          <w:tcPr>
            <w:tcW w:type="dxa" w:w="1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11</w:t>
            </w:r>
          </w:p>
        </w:tc>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Hostel Warden</w:t>
            </w:r>
          </w:p>
        </w:tc>
        <w:tc>
          <w:tcPr>
            <w:tcW w:type="dxa" w:w="52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Room allocation, student check-in/out, mess management, warden reports, incident logging</w:t>
            </w:r>
          </w:p>
        </w:tc>
      </w:tr>
      <w:tr>
        <w:tc>
          <w:tcPr>
            <w:tcW w:type="dxa" w:w="1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12</w:t>
            </w:r>
          </w:p>
        </w:tc>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Transport Manager</w:t>
            </w:r>
          </w:p>
        </w:tc>
        <w:tc>
          <w:tcPr>
            <w:tcW w:type="dxa" w:w="52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Route management, vehicle allocation, driver records, GPS tracking, transport fee linking</w:t>
            </w:r>
          </w:p>
        </w:tc>
      </w:tr>
      <w:tr>
        <w:tc>
          <w:tcPr>
            <w:tcW w:type="dxa" w:w="1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13</w:t>
            </w:r>
          </w:p>
        </w:tc>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IT Admin</w:t>
            </w:r>
          </w:p>
        </w:tc>
        <w:tc>
          <w:tcPr>
            <w:tcW w:type="dxa" w:w="52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User management, system configuration, integrations, backup, security monitoring, helpdesk</w:t>
            </w:r>
          </w:p>
        </w:tc>
      </w:tr>
    </w:tbl>
    <w:p>
      <w:r>
        <w:br w:type="page"/>
      </w:r>
    </w:p>
    <w:p>
      <w:pPr>
        <w:pStyle w:val="Heading1"/>
        <w:pBdr>
          <w:bottom w:val="single" w:color="2E75B6" w:sz="6" w:space="4"/>
        </w:pBdr>
        <w:spacing w:after="200" w:before="400"/>
      </w:pPr>
      <w:r>
        <w:rPr>
          <w:rFonts w:ascii="Calibri" w:cs="Calibri" w:eastAsia="Calibri" w:hAnsi="Calibri"/>
          <w:b/>
          <w:bCs/>
          <w:color w:val="1B3A6B"/>
          <w:sz w:val="40"/>
          <w:szCs w:val="40"/>
        </w:rPr>
        <w:t xml:space="preserve">4. Platform Support &amp; Technology Stack</w:t>
      </w:r>
    </w:p>
    <w:p>
      <w:pPr>
        <w:pStyle w:val="Heading2"/>
        <w:spacing w:after="120" w:before="280"/>
      </w:pPr>
      <w:r>
        <w:rPr>
          <w:rFonts w:ascii="Calibri" w:cs="Calibri" w:eastAsia="Calibri" w:hAnsi="Calibri"/>
          <w:b/>
          <w:bCs/>
          <w:color w:val="2E75B6"/>
          <w:sz w:val="30"/>
          <w:szCs w:val="30"/>
        </w:rPr>
        <w:t xml:space="preserve">4.1 Platform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Platform</w:t>
            </w:r>
          </w:p>
        </w:tc>
        <w:tc>
          <w:tcPr>
            <w:tcW w:type="dxa" w:w="343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Target Personas</w:t>
            </w:r>
          </w:p>
        </w:tc>
        <w:tc>
          <w:tcPr>
            <w:tcW w:type="dxa" w:w="343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Key Capabilities</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Web Application</w:t>
            </w:r>
          </w:p>
        </w:tc>
        <w:tc>
          <w:tcPr>
            <w:tcW w:type="dxa" w:w="343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All personas</w:t>
            </w:r>
          </w:p>
        </w:tc>
        <w:tc>
          <w:tcPr>
            <w:tcW w:type="dxa" w:w="343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Full-featured browser-based application; supports Chrome, Firefox, Safari, Edge; responsive design</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Mobile App — Android</w:t>
            </w:r>
          </w:p>
        </w:tc>
        <w:tc>
          <w:tcPr>
            <w:tcW w:type="dxa" w:w="343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Students, Faculty, Parents, Wardens, Transport Managers</w:t>
            </w:r>
          </w:p>
        </w:tc>
        <w:tc>
          <w:tcPr>
            <w:tcW w:type="dxa" w:w="343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Native Android app (API level 26+); push notifications; offline mode for attendance</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Mobile App — iOS</w:t>
            </w:r>
          </w:p>
        </w:tc>
        <w:tc>
          <w:tcPr>
            <w:tcW w:type="dxa" w:w="343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Students, Faculty, Parents, Wardens, Transport Managers</w:t>
            </w:r>
          </w:p>
        </w:tc>
        <w:tc>
          <w:tcPr>
            <w:tcW w:type="dxa" w:w="343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Native iOS app (iOS 15+); biometric login; push notifications</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Admin Dashboard</w:t>
            </w:r>
          </w:p>
        </w:tc>
        <w:tc>
          <w:tcPr>
            <w:tcW w:type="dxa" w:w="343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Super Admin, College Admin, Principal, HOD, Finance, HR, IT Admin</w:t>
            </w:r>
          </w:p>
        </w:tc>
        <w:tc>
          <w:tcPr>
            <w:tcW w:type="dxa" w:w="343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Data-rich management console with analytics, charts, bulk operations</w:t>
            </w:r>
          </w:p>
        </w:tc>
      </w:tr>
    </w:tbl>
    <w:p>
      <w:pPr>
        <w:pStyle w:val="Heading2"/>
        <w:spacing w:after="120" w:before="280"/>
      </w:pPr>
      <w:r>
        <w:rPr>
          <w:rFonts w:ascii="Calibri" w:cs="Calibri" w:eastAsia="Calibri" w:hAnsi="Calibri"/>
          <w:b/>
          <w:bCs/>
          <w:color w:val="2E75B6"/>
          <w:sz w:val="30"/>
          <w:szCs w:val="30"/>
        </w:rPr>
        <w:t xml:space="preserve">4.2 Technology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80"/>
        <w:gridCol w:w="2480"/>
      </w:tblGrid>
      <w:tr>
        <w:tc>
          <w:tcPr>
            <w:tcW w:type="dxa" w:w="18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Layer</w:t>
            </w:r>
          </w:p>
        </w:tc>
        <w:tc>
          <w:tcPr>
            <w:tcW w:type="dxa" w:w="22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Component</w:t>
            </w:r>
          </w:p>
        </w:tc>
        <w:tc>
          <w:tcPr>
            <w:tcW w:type="dxa" w:w="288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Technology / Standard</w:t>
            </w:r>
          </w:p>
        </w:tc>
        <w:tc>
          <w:tcPr>
            <w:tcW w:type="dxa" w:w="248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Notes</w:t>
            </w:r>
          </w:p>
        </w:tc>
      </w:tr>
      <w:tr>
        <w:tc>
          <w:tcPr>
            <w:tcW w:type="dxa" w:w="18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Frontend</w:t>
            </w:r>
          </w:p>
        </w:tc>
        <w:tc>
          <w:tcPr>
            <w:tcW w:type="dxa" w:w="22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Web App</w:t>
            </w:r>
          </w:p>
        </w:tc>
        <w:tc>
          <w:tcPr>
            <w:tcW w:type="dxa" w:w="288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React.js / Angular</w:t>
            </w:r>
          </w:p>
        </w:tc>
        <w:tc>
          <w:tcPr>
            <w:tcW w:type="dxa" w:w="248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PWA support</w:t>
            </w:r>
          </w:p>
        </w:tc>
      </w:tr>
      <w:tr>
        <w:tc>
          <w:tcPr>
            <w:tcW w:type="dxa" w:w="18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Frontend</w:t>
            </w:r>
          </w:p>
        </w:tc>
        <w:tc>
          <w:tcPr>
            <w:tcW w:type="dxa" w:w="22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Mobile App</w:t>
            </w:r>
          </w:p>
        </w:tc>
        <w:tc>
          <w:tcPr>
            <w:tcW w:type="dxa" w:w="288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React Native / Flutter</w:t>
            </w:r>
          </w:p>
        </w:tc>
        <w:tc>
          <w:tcPr>
            <w:tcW w:type="dxa" w:w="248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Cross-platform</w:t>
            </w:r>
          </w:p>
        </w:tc>
      </w:tr>
      <w:tr>
        <w:tc>
          <w:tcPr>
            <w:tcW w:type="dxa" w:w="18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Backend</w:t>
            </w:r>
          </w:p>
        </w:tc>
        <w:tc>
          <w:tcPr>
            <w:tcW w:type="dxa" w:w="22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API Server</w:t>
            </w:r>
          </w:p>
        </w:tc>
        <w:tc>
          <w:tcPr>
            <w:tcW w:type="dxa" w:w="288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Node.js / Java Spring Boot</w:t>
            </w:r>
          </w:p>
        </w:tc>
        <w:tc>
          <w:tcPr>
            <w:tcW w:type="dxa" w:w="248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REST + GraphQL</w:t>
            </w:r>
          </w:p>
        </w:tc>
      </w:tr>
      <w:tr>
        <w:tc>
          <w:tcPr>
            <w:tcW w:type="dxa" w:w="18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Database</w:t>
            </w:r>
          </w:p>
        </w:tc>
        <w:tc>
          <w:tcPr>
            <w:tcW w:type="dxa" w:w="22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Primary DB</w:t>
            </w:r>
          </w:p>
        </w:tc>
        <w:tc>
          <w:tcPr>
            <w:tcW w:type="dxa" w:w="288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PostgreSQL / MySQL</w:t>
            </w:r>
          </w:p>
        </w:tc>
        <w:tc>
          <w:tcPr>
            <w:tcW w:type="dxa" w:w="248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Multi-tenant</w:t>
            </w:r>
          </w:p>
        </w:tc>
      </w:tr>
      <w:tr>
        <w:tc>
          <w:tcPr>
            <w:tcW w:type="dxa" w:w="18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Database</w:t>
            </w:r>
          </w:p>
        </w:tc>
        <w:tc>
          <w:tcPr>
            <w:tcW w:type="dxa" w:w="22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Cache</w:t>
            </w:r>
          </w:p>
        </w:tc>
        <w:tc>
          <w:tcPr>
            <w:tcW w:type="dxa" w:w="288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Redis</w:t>
            </w:r>
          </w:p>
        </w:tc>
        <w:tc>
          <w:tcPr>
            <w:tcW w:type="dxa" w:w="248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Session &amp; query cache</w:t>
            </w:r>
          </w:p>
        </w:tc>
      </w:tr>
      <w:tr>
        <w:tc>
          <w:tcPr>
            <w:tcW w:type="dxa" w:w="18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Storage</w:t>
            </w:r>
          </w:p>
        </w:tc>
        <w:tc>
          <w:tcPr>
            <w:tcW w:type="dxa" w:w="22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File Storage</w:t>
            </w:r>
          </w:p>
        </w:tc>
        <w:tc>
          <w:tcPr>
            <w:tcW w:type="dxa" w:w="288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AWS S3 / Azure Blob</w:t>
            </w:r>
          </w:p>
        </w:tc>
        <w:tc>
          <w:tcPr>
            <w:tcW w:type="dxa" w:w="248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Documents, images</w:t>
            </w:r>
          </w:p>
        </w:tc>
      </w:tr>
      <w:tr>
        <w:tc>
          <w:tcPr>
            <w:tcW w:type="dxa" w:w="18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Auth</w:t>
            </w:r>
          </w:p>
        </w:tc>
        <w:tc>
          <w:tcPr>
            <w:tcW w:type="dxa" w:w="22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Identity</w:t>
            </w:r>
          </w:p>
        </w:tc>
        <w:tc>
          <w:tcPr>
            <w:tcW w:type="dxa" w:w="288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OAuth 2.0 + JWT + MFA</w:t>
            </w:r>
          </w:p>
        </w:tc>
        <w:tc>
          <w:tcPr>
            <w:tcW w:type="dxa" w:w="248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SSO support</w:t>
            </w:r>
          </w:p>
        </w:tc>
      </w:tr>
      <w:tr>
        <w:tc>
          <w:tcPr>
            <w:tcW w:type="dxa" w:w="18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Notifications</w:t>
            </w:r>
          </w:p>
        </w:tc>
        <w:tc>
          <w:tcPr>
            <w:tcW w:type="dxa" w:w="22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Push / SMS / Email</w:t>
            </w:r>
          </w:p>
        </w:tc>
        <w:tc>
          <w:tcPr>
            <w:tcW w:type="dxa" w:w="288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FCM, Twilio, SendGrid</w:t>
            </w:r>
          </w:p>
        </w:tc>
        <w:tc>
          <w:tcPr>
            <w:tcW w:type="dxa" w:w="248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Multi-channel</w:t>
            </w:r>
          </w:p>
        </w:tc>
      </w:tr>
      <w:tr>
        <w:tc>
          <w:tcPr>
            <w:tcW w:type="dxa" w:w="18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Payments</w:t>
            </w:r>
          </w:p>
        </w:tc>
        <w:tc>
          <w:tcPr>
            <w:tcW w:type="dxa" w:w="22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Payment Gateway</w:t>
            </w:r>
          </w:p>
        </w:tc>
        <w:tc>
          <w:tcPr>
            <w:tcW w:type="dxa" w:w="288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Razorpay / Stripe / PayU</w:t>
            </w:r>
          </w:p>
        </w:tc>
        <w:tc>
          <w:tcPr>
            <w:tcW w:type="dxa" w:w="248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See Section 16</w:t>
            </w:r>
          </w:p>
        </w:tc>
      </w:tr>
      <w:tr>
        <w:tc>
          <w:tcPr>
            <w:tcW w:type="dxa" w:w="18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DevOps</w:t>
            </w:r>
          </w:p>
        </w:tc>
        <w:tc>
          <w:tcPr>
            <w:tcW w:type="dxa" w:w="22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Deployment</w:t>
            </w:r>
          </w:p>
        </w:tc>
        <w:tc>
          <w:tcPr>
            <w:tcW w:type="dxa" w:w="288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Docker + Kubernetes</w:t>
            </w:r>
          </w:p>
        </w:tc>
        <w:tc>
          <w:tcPr>
            <w:tcW w:type="dxa" w:w="248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Auto-scaling</w:t>
            </w:r>
          </w:p>
        </w:tc>
      </w:tr>
      <w:tr>
        <w:tc>
          <w:tcPr>
            <w:tcW w:type="dxa" w:w="18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Monitoring</w:t>
            </w:r>
          </w:p>
        </w:tc>
        <w:tc>
          <w:tcPr>
            <w:tcW w:type="dxa" w:w="22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Observability</w:t>
            </w:r>
          </w:p>
        </w:tc>
        <w:tc>
          <w:tcPr>
            <w:tcW w:type="dxa" w:w="288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Prometheus + Grafana</w:t>
            </w:r>
          </w:p>
        </w:tc>
        <w:tc>
          <w:tcPr>
            <w:tcW w:type="dxa" w:w="248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SLA monitoring</w:t>
            </w:r>
          </w:p>
        </w:tc>
      </w:tr>
      <w:tr>
        <w:tc>
          <w:tcPr>
            <w:tcW w:type="dxa" w:w="18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Security</w:t>
            </w:r>
          </w:p>
        </w:tc>
        <w:tc>
          <w:tcPr>
            <w:tcW w:type="dxa" w:w="22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Web Security</w:t>
            </w:r>
          </w:p>
        </w:tc>
        <w:tc>
          <w:tcPr>
            <w:tcW w:type="dxa" w:w="288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WAF, SSL/TLS 1.3, OWASP</w:t>
            </w:r>
          </w:p>
        </w:tc>
        <w:tc>
          <w:tcPr>
            <w:tcW w:type="dxa" w:w="248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See Section 18</w:t>
            </w:r>
          </w:p>
        </w:tc>
      </w:tr>
    </w:tbl>
    <w:p>
      <w:r>
        <w:br w:type="page"/>
      </w:r>
    </w:p>
    <w:p>
      <w:pPr>
        <w:pStyle w:val="Heading1"/>
        <w:pBdr>
          <w:bottom w:val="single" w:color="2E75B6" w:sz="6" w:space="4"/>
        </w:pBdr>
        <w:spacing w:after="200" w:before="400"/>
      </w:pPr>
      <w:r>
        <w:rPr>
          <w:rFonts w:ascii="Calibri" w:cs="Calibri" w:eastAsia="Calibri" w:hAnsi="Calibri"/>
          <w:b/>
          <w:bCs/>
          <w:color w:val="1B3A6B"/>
          <w:sz w:val="40"/>
          <w:szCs w:val="40"/>
        </w:rPr>
        <w:t xml:space="preserve">5. Student Lifecycle Management</w:t>
      </w:r>
    </w:p>
    <w:p>
      <w:pPr>
        <w:spacing w:after="80" w:before="60"/>
      </w:pPr>
      <w:r>
        <w:rPr>
          <w:rFonts w:ascii="Calibri" w:cs="Calibri" w:eastAsia="Calibri" w:hAnsi="Calibri"/>
          <w:color w:val="1A1A2E"/>
          <w:sz w:val="20"/>
          <w:szCs w:val="20"/>
        </w:rPr>
        <w:t xml:space="preserve">The Student Lifecycle Management module covers every stage of a student's journey with the institution — from inquiry to alumni registration.</w:t>
      </w:r>
    </w:p>
    <w:p>
      <w:pPr>
        <w:pStyle w:val="Heading2"/>
        <w:spacing w:after="120" w:before="280"/>
      </w:pPr>
      <w:r>
        <w:rPr>
          <w:rFonts w:ascii="Calibri" w:cs="Calibri" w:eastAsia="Calibri" w:hAnsi="Calibri"/>
          <w:b/>
          <w:bCs/>
          <w:color w:val="2E75B6"/>
          <w:sz w:val="30"/>
          <w:szCs w:val="30"/>
        </w:rPr>
        <w:t xml:space="preserve">5.1 Admissions &amp; Enrollment</w:t>
      </w:r>
    </w:p>
    <w:p>
      <w:pPr>
        <w:pBdr>
          <w:left w:val="single" w:color="2E75B6" w:sz="12" w:space="8"/>
        </w:pBdr>
        <w:shd w:fill="E8F0FB" w:val="clear"/>
        <w:spacing w:after="60" w:before="120"/>
      </w:pPr>
      <w:r>
        <w:rPr>
          <w:rFonts w:ascii="Calibri" w:cs="Calibri" w:eastAsia="Calibri" w:hAnsi="Calibri"/>
          <w:b/>
          <w:bCs/>
          <w:color w:val="1B3A6B"/>
          <w:sz w:val="22"/>
          <w:szCs w:val="22"/>
        </w:rPr>
        <w:t xml:space="preserve">Sub-Modules: Online Application Portal, Eligibility Check, Document Verification, Merit List, Offer Letters, Enrollment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Feature</w:t>
            </w:r>
          </w:p>
        </w:tc>
        <w:tc>
          <w:tcPr>
            <w:tcW w:type="dxa" w:w="686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Online Application Portal</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Configurable multi-step application form; supports general and lateral entry; document upload (marksheets, certificates, ID proof, photos)</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Eligibility &amp; Quota Management</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Automatic eligibility calculation based on cut-off marks; quota management (merit, management, NRI, SC/ST/OBC/EWS)</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Application Review Workflow</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Multi-stage review: Admin → HOD → Principal approval workflow with comment trails</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Merit List Generation</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Automated ranked merit lists per program; waitlist management; category-wise sorting</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Offer Letter &amp; Acceptance</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Digital offer letter generation with e-signature; acceptance confirmation portal</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Document Verification</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Checklist-based document verification; original verification scheduling; digital vault storage</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Fee Payment at Admission</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Integrated payment gateway at enrollment; admission fee collection; receipt generation</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Enrollment ID Generation</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Unique student enrollment number; QR code ID card generation</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Bulk Import</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Bulk student data import via Excel/CSV for management quota or direct admissions</w:t>
            </w:r>
          </w:p>
        </w:tc>
      </w:tr>
    </w:tbl>
    <w:p>
      <w:pPr>
        <w:pStyle w:val="Heading2"/>
        <w:spacing w:after="120" w:before="280"/>
      </w:pPr>
      <w:r>
        <w:rPr>
          <w:rFonts w:ascii="Calibri" w:cs="Calibri" w:eastAsia="Calibri" w:hAnsi="Calibri"/>
          <w:b/>
          <w:bCs/>
          <w:color w:val="2E75B6"/>
          <w:sz w:val="30"/>
          <w:szCs w:val="30"/>
        </w:rPr>
        <w:t xml:space="preserve">5.2 Student Profile Management</w:t>
      </w:r>
    </w:p>
    <w:p>
      <w:pPr>
        <w:spacing w:after="80" w:before="60"/>
      </w:pPr>
      <w:r>
        <w:rPr>
          <w:rFonts w:ascii="Calibri" w:cs="Calibri" w:eastAsia="Calibri" w:hAnsi="Calibri"/>
          <w:color w:val="1A1A2E"/>
          <w:sz w:val="20"/>
          <w:szCs w:val="20"/>
        </w:rPr>
        <w:t xml:space="preserve">A comprehensive 360° student profile accessible to authorized personas with full history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Profile Section</w:t>
            </w:r>
          </w:p>
        </w:tc>
        <w:tc>
          <w:tcPr>
            <w:tcW w:type="dxa" w:w="686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Data Captured</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Personal Information</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Full name, DOB, gender, nationality, religion, caste, mother tongue, Aadhar/passport, photo</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Contact Information</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Permanent &amp; correspondence address, phone, email, emergency contact details</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Academic Background</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Previous institution details, marks, grades, certificates, entrance exam scores</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Family Information</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Father, mother, guardian details, occupation, income, sibling info</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Academic Record</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Current semester, CGPA, backlogs, semester-wise results, class/section assignment</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Fee Record</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Fee paid, dues, concessions, scholarship details, payment history</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Attendance Record</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Overall and subject-wise attendance percentage with calendar view</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Hostel &amp; Transport</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Hostel room, block, warden, transport route, bus stop details</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Library Record</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Books issued, returned, fines, reading history</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Disciplinary Record</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Complaints, warnings, counseling sessions, achievements</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Documents Vault</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All uploaded and verified documents in a secure digital vault</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Activity &amp; Achievements</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Cultural participation, sports, competitions, internships, placements</w:t>
            </w:r>
          </w:p>
        </w:tc>
      </w:tr>
    </w:tbl>
    <w:p>
      <w:pPr>
        <w:pStyle w:val="Heading2"/>
        <w:spacing w:after="120" w:before="280"/>
      </w:pPr>
      <w:r>
        <w:rPr>
          <w:rFonts w:ascii="Calibri" w:cs="Calibri" w:eastAsia="Calibri" w:hAnsi="Calibri"/>
          <w:b/>
          <w:bCs/>
          <w:color w:val="2E75B6"/>
          <w:sz w:val="30"/>
          <w:szCs w:val="30"/>
        </w:rPr>
        <w:t xml:space="preserve">5.3 Student ID Card Management</w:t>
      </w:r>
    </w:p>
    <w:p>
      <w:pPr>
        <w:spacing w:after="80" w:before="60"/>
      </w:pPr>
      <w:r>
        <w:rPr>
          <w:rFonts w:ascii="Calibri" w:cs="Calibri" w:eastAsia="Calibri" w:hAnsi="Calibri"/>
          <w:color w:val="1A1A2E"/>
          <w:sz w:val="20"/>
          <w:szCs w:val="20"/>
        </w:rPr>
        <w:t xml:space="preserve">Digital and physical ID card generation with QR code, RFID integration for access control, and automatic renewal each academic year.</w:t>
      </w:r>
    </w:p>
    <w:p>
      <w:pPr>
        <w:pStyle w:val="Heading2"/>
        <w:spacing w:after="120" w:before="280"/>
      </w:pPr>
      <w:r>
        <w:rPr>
          <w:rFonts w:ascii="Calibri" w:cs="Calibri" w:eastAsia="Calibri" w:hAnsi="Calibri"/>
          <w:b/>
          <w:bCs/>
          <w:color w:val="2E75B6"/>
          <w:sz w:val="30"/>
          <w:szCs w:val="30"/>
        </w:rPr>
        <w:t xml:space="preserve">5.4 Alumni Management</w:t>
      </w:r>
    </w:p>
    <w:p>
      <w:pPr>
        <w:pStyle w:val="ListParagraph"/>
        <w:numPr>
          <w:ilvl w:val="0"/>
          <w:numId w:val="3"/>
        </w:numPr>
        <w:spacing w:after="40" w:before="40"/>
      </w:pPr>
      <w:r>
        <w:rPr>
          <w:rFonts w:ascii="Calibri" w:cs="Calibri" w:eastAsia="Calibri" w:hAnsi="Calibri"/>
          <w:color w:val="1A1A2E"/>
          <w:sz w:val="20"/>
          <w:szCs w:val="20"/>
        </w:rPr>
        <w:t xml:space="preserve">Automatic alumni registration upon graduation</w:t>
      </w:r>
    </w:p>
    <w:p>
      <w:pPr>
        <w:pStyle w:val="ListParagraph"/>
        <w:numPr>
          <w:ilvl w:val="0"/>
          <w:numId w:val="3"/>
        </w:numPr>
        <w:spacing w:after="40" w:before="40"/>
      </w:pPr>
      <w:r>
        <w:rPr>
          <w:rFonts w:ascii="Calibri" w:cs="Calibri" w:eastAsia="Calibri" w:hAnsi="Calibri"/>
          <w:color w:val="1A1A2E"/>
          <w:sz w:val="20"/>
          <w:szCs w:val="20"/>
        </w:rPr>
        <w:t xml:space="preserve">Alumni directory with searchable profiles</w:t>
      </w:r>
    </w:p>
    <w:p>
      <w:pPr>
        <w:pStyle w:val="ListParagraph"/>
        <w:numPr>
          <w:ilvl w:val="0"/>
          <w:numId w:val="3"/>
        </w:numPr>
        <w:spacing w:after="40" w:before="40"/>
      </w:pPr>
      <w:r>
        <w:rPr>
          <w:rFonts w:ascii="Calibri" w:cs="Calibri" w:eastAsia="Calibri" w:hAnsi="Calibri"/>
          <w:color w:val="1A1A2E"/>
          <w:sz w:val="20"/>
          <w:szCs w:val="20"/>
        </w:rPr>
        <w:t xml:space="preserve">Alumni portal for job postings, mentorship, and events</w:t>
      </w:r>
    </w:p>
    <w:p>
      <w:pPr>
        <w:pStyle w:val="ListParagraph"/>
        <w:numPr>
          <w:ilvl w:val="0"/>
          <w:numId w:val="3"/>
        </w:numPr>
        <w:spacing w:after="40" w:before="40"/>
      </w:pPr>
      <w:r>
        <w:rPr>
          <w:rFonts w:ascii="Calibri" w:cs="Calibri" w:eastAsia="Calibri" w:hAnsi="Calibri"/>
          <w:color w:val="1A1A2E"/>
          <w:sz w:val="20"/>
          <w:szCs w:val="20"/>
        </w:rPr>
        <w:t xml:space="preserve">Donation management and alumni funding campaigns</w:t>
      </w:r>
    </w:p>
    <w:p>
      <w:pPr>
        <w:pStyle w:val="ListParagraph"/>
        <w:numPr>
          <w:ilvl w:val="0"/>
          <w:numId w:val="3"/>
        </w:numPr>
        <w:spacing w:after="40" w:before="40"/>
      </w:pPr>
      <w:r>
        <w:rPr>
          <w:rFonts w:ascii="Calibri" w:cs="Calibri" w:eastAsia="Calibri" w:hAnsi="Calibri"/>
          <w:color w:val="1A1A2E"/>
          <w:sz w:val="20"/>
          <w:szCs w:val="20"/>
        </w:rPr>
        <w:t xml:space="preserve">Alumni newsletter and communication management</w:t>
      </w:r>
    </w:p>
    <w:p>
      <w:pPr>
        <w:pStyle w:val="ListParagraph"/>
        <w:numPr>
          <w:ilvl w:val="0"/>
          <w:numId w:val="3"/>
        </w:numPr>
        <w:spacing w:after="40" w:before="40"/>
      </w:pPr>
      <w:r>
        <w:rPr>
          <w:rFonts w:ascii="Calibri" w:cs="Calibri" w:eastAsia="Calibri" w:hAnsi="Calibri"/>
          <w:color w:val="1A1A2E"/>
          <w:sz w:val="20"/>
          <w:szCs w:val="20"/>
        </w:rPr>
        <w:t xml:space="preserve">Placement tracking and career outcome reporting</w:t>
      </w:r>
    </w:p>
    <w:p>
      <w:r>
        <w:br w:type="page"/>
      </w:r>
    </w:p>
    <w:p>
      <w:pPr>
        <w:pStyle w:val="Heading1"/>
        <w:pBdr>
          <w:bottom w:val="single" w:color="2E75B6" w:sz="6" w:space="4"/>
        </w:pBdr>
        <w:spacing w:after="200" w:before="400"/>
      </w:pPr>
      <w:r>
        <w:rPr>
          <w:rFonts w:ascii="Calibri" w:cs="Calibri" w:eastAsia="Calibri" w:hAnsi="Calibri"/>
          <w:b/>
          <w:bCs/>
          <w:color w:val="1B3A6B"/>
          <w:sz w:val="40"/>
          <w:szCs w:val="40"/>
        </w:rPr>
        <w:t xml:space="preserve">6. Staff &amp; HR Management</w:t>
      </w:r>
    </w:p>
    <w:p>
      <w:pPr>
        <w:pStyle w:val="Heading2"/>
        <w:spacing w:after="120" w:before="280"/>
      </w:pPr>
      <w:r>
        <w:rPr>
          <w:rFonts w:ascii="Calibri" w:cs="Calibri" w:eastAsia="Calibri" w:hAnsi="Calibri"/>
          <w:b/>
          <w:bCs/>
          <w:color w:val="2E75B6"/>
          <w:sz w:val="30"/>
          <w:szCs w:val="30"/>
        </w:rPr>
        <w:t xml:space="preserve">6.1 Recruitment &amp;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Module</w:t>
            </w:r>
          </w:p>
        </w:tc>
        <w:tc>
          <w:tcPr>
            <w:tcW w:type="dxa" w:w="686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Job Posting</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Create and publish vacancies on portal and job boards; define eligibility criteria</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Application Management</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Online application collection; shortlisting; interview scheduling</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Interview Module</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Interview panel creation; score sheets; recommendation workflow</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Offer &amp; Appointment</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Digital offer letter; appointment order generation; joining formalities checklist</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Onboarding Workflow</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Document collection; ID card; system access provisioning; orientation scheduling</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Staff ID Generation</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Unique staff ID; designation, department, and reporting structure assignment</w:t>
            </w:r>
          </w:p>
        </w:tc>
      </w:tr>
    </w:tbl>
    <w:p>
      <w:pPr>
        <w:pStyle w:val="Heading2"/>
        <w:spacing w:after="120" w:before="280"/>
      </w:pPr>
      <w:r>
        <w:rPr>
          <w:rFonts w:ascii="Calibri" w:cs="Calibri" w:eastAsia="Calibri" w:hAnsi="Calibri"/>
          <w:b/>
          <w:bCs/>
          <w:color w:val="2E75B6"/>
          <w:sz w:val="30"/>
          <w:szCs w:val="30"/>
        </w:rPr>
        <w:t xml:space="preserve">6.2 Staff Profile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Section</w:t>
            </w:r>
          </w:p>
        </w:tc>
        <w:tc>
          <w:tcPr>
            <w:tcW w:type="dxa" w:w="686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Data Fields</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Personal Details</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Name, DOB, gender, photo, Aadhar, PAN, passport, blood group</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Professional Details</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Qualification, specialization, experience, previous employment</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Employment Details</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Designation, department, date of joining, contract type, employment status</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Salary Details</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Salary grade, basic, allowances, deductions, bank account for payroll</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Leave Record</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Leave balance, history, approved and pending requests</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Performance Record</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Appraisal scores, KPIs, awards, disciplinary record</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Workload Details</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Subjects assigned, classes handled, lab sessions, extra duties</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Documents Vault</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Certificates, appointment order, ID proof, educational documents</w:t>
            </w:r>
          </w:p>
        </w:tc>
      </w:tr>
    </w:tbl>
    <w:p>
      <w:pPr>
        <w:pStyle w:val="Heading2"/>
        <w:spacing w:after="120" w:before="280"/>
      </w:pPr>
      <w:r>
        <w:rPr>
          <w:rFonts w:ascii="Calibri" w:cs="Calibri" w:eastAsia="Calibri" w:hAnsi="Calibri"/>
          <w:b/>
          <w:bCs/>
          <w:color w:val="2E75B6"/>
          <w:sz w:val="30"/>
          <w:szCs w:val="30"/>
        </w:rPr>
        <w:t xml:space="preserve">6.3 Attendance &amp; Leave Management (Staff)</w:t>
      </w:r>
    </w:p>
    <w:p>
      <w:pPr>
        <w:spacing w:after="80" w:before="60"/>
      </w:pPr>
      <w:r>
        <w:rPr>
          <w:rFonts w:ascii="Calibri" w:cs="Calibri" w:eastAsia="Calibri" w:hAnsi="Calibri"/>
          <w:color w:val="1A1A2E"/>
          <w:sz w:val="20"/>
          <w:szCs w:val="20"/>
        </w:rPr>
        <w:t xml:space="preserve">Biometric integration for staff attendance; leave application and approval workflow; leave balance tracking across types.</w:t>
      </w:r>
    </w:p>
    <w:p>
      <w:pPr>
        <w:pStyle w:val="ListParagraph"/>
        <w:numPr>
          <w:ilvl w:val="0"/>
          <w:numId w:val="3"/>
        </w:numPr>
        <w:spacing w:after="40" w:before="40"/>
      </w:pPr>
      <w:r>
        <w:rPr>
          <w:rFonts w:ascii="Calibri" w:cs="Calibri" w:eastAsia="Calibri" w:hAnsi="Calibri"/>
          <w:color w:val="1A1A2E"/>
          <w:sz w:val="20"/>
          <w:szCs w:val="20"/>
        </w:rPr>
        <w:t xml:space="preserve">Casual Leave (CL)</w:t>
      </w:r>
    </w:p>
    <w:p>
      <w:pPr>
        <w:pStyle w:val="ListParagraph"/>
        <w:numPr>
          <w:ilvl w:val="0"/>
          <w:numId w:val="3"/>
        </w:numPr>
        <w:spacing w:after="40" w:before="40"/>
      </w:pPr>
      <w:r>
        <w:rPr>
          <w:rFonts w:ascii="Calibri" w:cs="Calibri" w:eastAsia="Calibri" w:hAnsi="Calibri"/>
          <w:color w:val="1A1A2E"/>
          <w:sz w:val="20"/>
          <w:szCs w:val="20"/>
        </w:rPr>
        <w:t xml:space="preserve">Earned Leave (EL)</w:t>
      </w:r>
    </w:p>
    <w:p>
      <w:pPr>
        <w:pStyle w:val="ListParagraph"/>
        <w:numPr>
          <w:ilvl w:val="0"/>
          <w:numId w:val="3"/>
        </w:numPr>
        <w:spacing w:after="40" w:before="40"/>
      </w:pPr>
      <w:r>
        <w:rPr>
          <w:rFonts w:ascii="Calibri" w:cs="Calibri" w:eastAsia="Calibri" w:hAnsi="Calibri"/>
          <w:color w:val="1A1A2E"/>
          <w:sz w:val="20"/>
          <w:szCs w:val="20"/>
        </w:rPr>
        <w:t xml:space="preserve">Medical Leave (ML)</w:t>
      </w:r>
    </w:p>
    <w:p>
      <w:pPr>
        <w:pStyle w:val="ListParagraph"/>
        <w:numPr>
          <w:ilvl w:val="0"/>
          <w:numId w:val="3"/>
        </w:numPr>
        <w:spacing w:after="40" w:before="40"/>
      </w:pPr>
      <w:r>
        <w:rPr>
          <w:rFonts w:ascii="Calibri" w:cs="Calibri" w:eastAsia="Calibri" w:hAnsi="Calibri"/>
          <w:color w:val="1A1A2E"/>
          <w:sz w:val="20"/>
          <w:szCs w:val="20"/>
        </w:rPr>
        <w:t xml:space="preserve">Maternity / Paternity Leave</w:t>
      </w:r>
    </w:p>
    <w:p>
      <w:pPr>
        <w:pStyle w:val="ListParagraph"/>
        <w:numPr>
          <w:ilvl w:val="0"/>
          <w:numId w:val="3"/>
        </w:numPr>
        <w:spacing w:after="40" w:before="40"/>
      </w:pPr>
      <w:r>
        <w:rPr>
          <w:rFonts w:ascii="Calibri" w:cs="Calibri" w:eastAsia="Calibri" w:hAnsi="Calibri"/>
          <w:color w:val="1A1A2E"/>
          <w:sz w:val="20"/>
          <w:szCs w:val="20"/>
        </w:rPr>
        <w:t xml:space="preserve">Compensatory Off (CO)</w:t>
      </w:r>
    </w:p>
    <w:p>
      <w:pPr>
        <w:pStyle w:val="ListParagraph"/>
        <w:numPr>
          <w:ilvl w:val="0"/>
          <w:numId w:val="3"/>
        </w:numPr>
        <w:spacing w:after="40" w:before="40"/>
      </w:pPr>
      <w:r>
        <w:rPr>
          <w:rFonts w:ascii="Calibri" w:cs="Calibri" w:eastAsia="Calibri" w:hAnsi="Calibri"/>
          <w:color w:val="1A1A2E"/>
          <w:sz w:val="20"/>
          <w:szCs w:val="20"/>
        </w:rPr>
        <w:t xml:space="preserve">On-Duty (OD)</w:t>
      </w:r>
    </w:p>
    <w:p>
      <w:pPr>
        <w:pStyle w:val="ListParagraph"/>
        <w:numPr>
          <w:ilvl w:val="0"/>
          <w:numId w:val="3"/>
        </w:numPr>
        <w:spacing w:after="40" w:before="40"/>
      </w:pPr>
      <w:r>
        <w:rPr>
          <w:rFonts w:ascii="Calibri" w:cs="Calibri" w:eastAsia="Calibri" w:hAnsi="Calibri"/>
          <w:color w:val="1A1A2E"/>
          <w:sz w:val="20"/>
          <w:szCs w:val="20"/>
        </w:rPr>
        <w:t xml:space="preserve">Study Leave</w:t>
      </w:r>
    </w:p>
    <w:p>
      <w:pPr>
        <w:pStyle w:val="ListParagraph"/>
        <w:numPr>
          <w:ilvl w:val="0"/>
          <w:numId w:val="3"/>
        </w:numPr>
        <w:spacing w:after="40" w:before="40"/>
      </w:pPr>
      <w:r>
        <w:rPr>
          <w:rFonts w:ascii="Calibri" w:cs="Calibri" w:eastAsia="Calibri" w:hAnsi="Calibri"/>
          <w:color w:val="1A1A2E"/>
          <w:sz w:val="20"/>
          <w:szCs w:val="20"/>
        </w:rPr>
        <w:t xml:space="preserve">Loss of Pay (LOP)</w:t>
      </w:r>
    </w:p>
    <w:p>
      <w:pPr>
        <w:pStyle w:val="Heading2"/>
        <w:spacing w:after="120" w:before="280"/>
      </w:pPr>
      <w:r>
        <w:rPr>
          <w:rFonts w:ascii="Calibri" w:cs="Calibri" w:eastAsia="Calibri" w:hAnsi="Calibri"/>
          <w:b/>
          <w:bCs/>
          <w:color w:val="2E75B6"/>
          <w:sz w:val="30"/>
          <w:szCs w:val="30"/>
        </w:rPr>
        <w:t xml:space="preserve">6.4 Payroll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Feature</w:t>
            </w:r>
          </w:p>
        </w:tc>
        <w:tc>
          <w:tcPr>
            <w:tcW w:type="dxa" w:w="686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Salary Structure</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Configurable salary components: Basic, HRA, DA, TA, Medical, Special Allowances</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Deductions</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PF, ESI, Professional Tax, TDS, loan deductions — configurable per employee grade</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Payroll Processing</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Monthly payroll run; automated salary calculation based on attendance and leave</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Payslip Generation</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Digital payslip generation; email/portal delivery; password-protected PDF</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Loan &amp; Advance</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Staff loan/advance application; repayment schedule linked to payroll</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PF &amp; ESI Management</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Automated PF/ESI computation; form generation; challan creation</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Tax (TDS) Management</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Form 16 generation; TDS computation per Income Tax slabs; investment declarations</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Bank Transfer Integration</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NEFT/RTGS bulk salary transfer file generation; bank statement reconciliation</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Arrear Processing</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Arrear and increment processing; retrospective salary calculations</w:t>
            </w:r>
          </w:p>
        </w:tc>
      </w:tr>
    </w:tbl>
    <w:p>
      <w:pPr>
        <w:pStyle w:val="Heading2"/>
        <w:spacing w:after="120" w:before="280"/>
      </w:pPr>
      <w:r>
        <w:rPr>
          <w:rFonts w:ascii="Calibri" w:cs="Calibri" w:eastAsia="Calibri" w:hAnsi="Calibri"/>
          <w:b/>
          <w:bCs/>
          <w:color w:val="2E75B6"/>
          <w:sz w:val="30"/>
          <w:szCs w:val="30"/>
        </w:rPr>
        <w:t xml:space="preserve">6.5 Performance Management</w:t>
      </w:r>
    </w:p>
    <w:p>
      <w:pPr>
        <w:spacing w:after="80" w:before="60"/>
      </w:pPr>
      <w:r>
        <w:rPr>
          <w:rFonts w:ascii="Calibri" w:cs="Calibri" w:eastAsia="Calibri" w:hAnsi="Calibri"/>
          <w:color w:val="1A1A2E"/>
          <w:sz w:val="20"/>
          <w:szCs w:val="20"/>
        </w:rPr>
        <w:t xml:space="preserve">Annual appraisal cycle with configurable KPIs, peer review, 360-degree feedback, HOD and Principal scoring, increment recommendation, and promotion workflow.</w:t>
      </w:r>
    </w:p>
    <w:p>
      <w:r>
        <w:br w:type="page"/>
      </w:r>
    </w:p>
    <w:p>
      <w:pPr>
        <w:pStyle w:val="Heading1"/>
        <w:pBdr>
          <w:bottom w:val="single" w:color="2E75B6" w:sz="6" w:space="4"/>
        </w:pBdr>
        <w:spacing w:after="200" w:before="400"/>
      </w:pPr>
      <w:r>
        <w:rPr>
          <w:rFonts w:ascii="Calibri" w:cs="Calibri" w:eastAsia="Calibri" w:hAnsi="Calibri"/>
          <w:b/>
          <w:bCs/>
          <w:color w:val="1B3A6B"/>
          <w:sz w:val="40"/>
          <w:szCs w:val="40"/>
        </w:rPr>
        <w:t xml:space="preserve">7. Academic Operations</w:t>
      </w:r>
    </w:p>
    <w:p>
      <w:pPr>
        <w:pStyle w:val="Heading2"/>
        <w:spacing w:after="120" w:before="280"/>
      </w:pPr>
      <w:r>
        <w:rPr>
          <w:rFonts w:ascii="Calibri" w:cs="Calibri" w:eastAsia="Calibri" w:hAnsi="Calibri"/>
          <w:b/>
          <w:bCs/>
          <w:color w:val="2E75B6"/>
          <w:sz w:val="30"/>
          <w:szCs w:val="30"/>
        </w:rPr>
        <w:t xml:space="preserve">7.1 Academic Year &amp; Semester Configuration</w:t>
      </w:r>
    </w:p>
    <w:p>
      <w:pPr>
        <w:pStyle w:val="ListParagraph"/>
        <w:numPr>
          <w:ilvl w:val="0"/>
          <w:numId w:val="3"/>
        </w:numPr>
        <w:spacing w:after="40" w:before="40"/>
      </w:pPr>
      <w:r>
        <w:rPr>
          <w:rFonts w:ascii="Calibri" w:cs="Calibri" w:eastAsia="Calibri" w:hAnsi="Calibri"/>
          <w:color w:val="1A1A2E"/>
          <w:sz w:val="20"/>
          <w:szCs w:val="20"/>
        </w:rPr>
        <w:t xml:space="preserve">Academic year definition and semester/term configuration</w:t>
      </w:r>
    </w:p>
    <w:p>
      <w:pPr>
        <w:pStyle w:val="ListParagraph"/>
        <w:numPr>
          <w:ilvl w:val="0"/>
          <w:numId w:val="3"/>
        </w:numPr>
        <w:spacing w:after="40" w:before="40"/>
      </w:pPr>
      <w:r>
        <w:rPr>
          <w:rFonts w:ascii="Calibri" w:cs="Calibri" w:eastAsia="Calibri" w:hAnsi="Calibri"/>
          <w:color w:val="1A1A2E"/>
          <w:sz w:val="20"/>
          <w:szCs w:val="20"/>
        </w:rPr>
        <w:t xml:space="preserve">Working days and holiday calendar setup with public holiday auto-import</w:t>
      </w:r>
    </w:p>
    <w:p>
      <w:pPr>
        <w:pStyle w:val="ListParagraph"/>
        <w:numPr>
          <w:ilvl w:val="0"/>
          <w:numId w:val="3"/>
        </w:numPr>
        <w:spacing w:after="40" w:before="40"/>
      </w:pPr>
      <w:r>
        <w:rPr>
          <w:rFonts w:ascii="Calibri" w:cs="Calibri" w:eastAsia="Calibri" w:hAnsi="Calibri"/>
          <w:color w:val="1A1A2E"/>
          <w:sz w:val="20"/>
          <w:szCs w:val="20"/>
        </w:rPr>
        <w:t xml:space="preserve">Department and program structure definition (UG, PG, PhD, Diploma)</w:t>
      </w:r>
    </w:p>
    <w:p>
      <w:pPr>
        <w:pStyle w:val="ListParagraph"/>
        <w:numPr>
          <w:ilvl w:val="0"/>
          <w:numId w:val="3"/>
        </w:numPr>
        <w:spacing w:after="40" w:before="40"/>
      </w:pPr>
      <w:r>
        <w:rPr>
          <w:rFonts w:ascii="Calibri" w:cs="Calibri" w:eastAsia="Calibri" w:hAnsi="Calibri"/>
          <w:color w:val="1A1A2E"/>
          <w:sz w:val="20"/>
          <w:szCs w:val="20"/>
        </w:rPr>
        <w:t xml:space="preserve">Batch and section management with student assignment</w:t>
      </w:r>
    </w:p>
    <w:p>
      <w:pPr>
        <w:pStyle w:val="ListParagraph"/>
        <w:numPr>
          <w:ilvl w:val="0"/>
          <w:numId w:val="3"/>
        </w:numPr>
        <w:spacing w:after="40" w:before="40"/>
      </w:pPr>
      <w:r>
        <w:rPr>
          <w:rFonts w:ascii="Calibri" w:cs="Calibri" w:eastAsia="Calibri" w:hAnsi="Calibri"/>
          <w:color w:val="1A1A2E"/>
          <w:sz w:val="20"/>
          <w:szCs w:val="20"/>
        </w:rPr>
        <w:t xml:space="preserve">Course/subject master with credits, hours, theory/practical classification</w:t>
      </w:r>
    </w:p>
    <w:p>
      <w:pPr>
        <w:pStyle w:val="ListParagraph"/>
        <w:numPr>
          <w:ilvl w:val="0"/>
          <w:numId w:val="3"/>
        </w:numPr>
        <w:spacing w:after="40" w:before="40"/>
      </w:pPr>
      <w:r>
        <w:rPr>
          <w:rFonts w:ascii="Calibri" w:cs="Calibri" w:eastAsia="Calibri" w:hAnsi="Calibri"/>
          <w:color w:val="1A1A2E"/>
          <w:sz w:val="20"/>
          <w:szCs w:val="20"/>
        </w:rPr>
        <w:t xml:space="preserve">Curriculum mapping: program → semester → subject binding</w:t>
      </w:r>
    </w:p>
    <w:p>
      <w:pPr>
        <w:pStyle w:val="Heading2"/>
        <w:spacing w:after="120" w:before="280"/>
      </w:pPr>
      <w:r>
        <w:rPr>
          <w:rFonts w:ascii="Calibri" w:cs="Calibri" w:eastAsia="Calibri" w:hAnsi="Calibri"/>
          <w:b/>
          <w:bCs/>
          <w:color w:val="2E75B6"/>
          <w:sz w:val="30"/>
          <w:szCs w:val="30"/>
        </w:rPr>
        <w:t xml:space="preserve">7.2 Timetable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Feature</w:t>
            </w:r>
          </w:p>
        </w:tc>
        <w:tc>
          <w:tcPr>
            <w:tcW w:type="dxa" w:w="686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Manual Scheduling</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Drag-and-drop timetable builder per department, batch, and section</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Auto Scheduling</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Constraint-based auto-generation considering faculty availability, room capacity, subject hours</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Conflict Detection</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Real-time clash detection for faculty, room, and batch overlaps</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Substitution Management</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Faculty substitution entry; substitute notification; history log</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Room &amp; Lab Allocation</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Room master with capacity; lab scheduling; smart room allocation</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Timetable Publishing</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Publish to student and faculty dashboards and mobile apps</w:t>
            </w:r>
          </w:p>
        </w:tc>
      </w:tr>
    </w:tbl>
    <w:p>
      <w:pPr>
        <w:pStyle w:val="Heading2"/>
        <w:spacing w:after="120" w:before="280"/>
      </w:pPr>
      <w:r>
        <w:rPr>
          <w:rFonts w:ascii="Calibri" w:cs="Calibri" w:eastAsia="Calibri" w:hAnsi="Calibri"/>
          <w:b/>
          <w:bCs/>
          <w:color w:val="2E75B6"/>
          <w:sz w:val="30"/>
          <w:szCs w:val="30"/>
        </w:rPr>
        <w:t xml:space="preserve">7.3 Curriculum &amp; Syllabus Management</w:t>
      </w:r>
    </w:p>
    <w:p>
      <w:pPr>
        <w:spacing w:after="80" w:before="60"/>
      </w:pPr>
      <w:r>
        <w:rPr>
          <w:rFonts w:ascii="Calibri" w:cs="Calibri" w:eastAsia="Calibri" w:hAnsi="Calibri"/>
          <w:color w:val="1A1A2E"/>
          <w:sz w:val="20"/>
          <w:szCs w:val="20"/>
        </w:rPr>
        <w:t xml:space="preserve">Digital syllabus upload per subject; topic-level coverage tracking by faculty; prerequisite mapping; elective subject management; regulation version control for curriculum changes.</w:t>
      </w:r>
    </w:p>
    <w:p>
      <w:pPr>
        <w:pStyle w:val="Heading2"/>
        <w:spacing w:after="120" w:before="280"/>
      </w:pPr>
      <w:r>
        <w:rPr>
          <w:rFonts w:ascii="Calibri" w:cs="Calibri" w:eastAsia="Calibri" w:hAnsi="Calibri"/>
          <w:b/>
          <w:bCs/>
          <w:color w:val="2E75B6"/>
          <w:sz w:val="30"/>
          <w:szCs w:val="30"/>
        </w:rPr>
        <w:t xml:space="preserve">7.4 Assignment &amp; Internal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Feature</w:t>
            </w:r>
          </w:p>
        </w:tc>
        <w:tc>
          <w:tcPr>
            <w:tcW w:type="dxa" w:w="686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Assignment Creation</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Faculty creates assignments with instructions, due date, marks, and file attachments</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Online Submission</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Students submit via portal/mobile; late submission flagging with configurable grace period</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Grading &amp; Feedback</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Online grading with rubric support; individual feedback; plagiarism flag</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Internal Mark Entry</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Configurable internal assessment components (quizzes, assignments, practicals, seminars)</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Internal Mark Moderation</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HOD-level moderation of internal marks before finalization</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Parent Visibility</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Internal marks visible to parents after publication</w:t>
            </w:r>
          </w:p>
        </w:tc>
      </w:tr>
    </w:tbl>
    <w:p>
      <w:r>
        <w:br w:type="page"/>
      </w:r>
    </w:p>
    <w:p>
      <w:pPr>
        <w:pStyle w:val="Heading1"/>
        <w:pBdr>
          <w:bottom w:val="single" w:color="2E75B6" w:sz="6" w:space="4"/>
        </w:pBdr>
        <w:spacing w:after="200" w:before="400"/>
      </w:pPr>
      <w:r>
        <w:rPr>
          <w:rFonts w:ascii="Calibri" w:cs="Calibri" w:eastAsia="Calibri" w:hAnsi="Calibri"/>
          <w:b/>
          <w:bCs/>
          <w:color w:val="1B3A6B"/>
          <w:sz w:val="40"/>
          <w:szCs w:val="40"/>
        </w:rPr>
        <w:t xml:space="preserve">8. Fee &amp; Finance Management</w:t>
      </w:r>
    </w:p>
    <w:p>
      <w:pPr>
        <w:pStyle w:val="Heading2"/>
        <w:spacing w:after="120" w:before="280"/>
      </w:pPr>
      <w:r>
        <w:rPr>
          <w:rFonts w:ascii="Calibri" w:cs="Calibri" w:eastAsia="Calibri" w:hAnsi="Calibri"/>
          <w:b/>
          <w:bCs/>
          <w:color w:val="2E75B6"/>
          <w:sz w:val="30"/>
          <w:szCs w:val="30"/>
        </w:rPr>
        <w:t xml:space="preserve">8.1 Fee Structure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Feature</w:t>
            </w:r>
          </w:p>
        </w:tc>
        <w:tc>
          <w:tcPr>
            <w:tcW w:type="dxa" w:w="686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Fee Components</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Tuition fee, admission fee, exam fee, library fee, lab fee, hostel fee, transport fee, activity fee, development fee, late fine</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Fee Templates</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Configurable fee templates per program, batch, year, and category</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Concession &amp; Scholarship</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Define concession types (merit, need-based, staff ward, sports); apply at student level</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Instalment Plans</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Define instalment schedules with due dates; partial payment support</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Late Fee Rules</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Configurable late fee per day or fixed penalty after due date; waiver workflow</w:t>
            </w:r>
          </w:p>
        </w:tc>
      </w:tr>
    </w:tbl>
    <w:p>
      <w:pPr>
        <w:pStyle w:val="Heading2"/>
        <w:spacing w:after="120" w:before="280"/>
      </w:pPr>
      <w:r>
        <w:rPr>
          <w:rFonts w:ascii="Calibri" w:cs="Calibri" w:eastAsia="Calibri" w:hAnsi="Calibri"/>
          <w:b/>
          <w:bCs/>
          <w:color w:val="2E75B6"/>
          <w:sz w:val="30"/>
          <w:szCs w:val="30"/>
        </w:rPr>
        <w:t xml:space="preserve">8.2 Fee Collection &amp; Receipts</w:t>
      </w:r>
    </w:p>
    <w:p>
      <w:pPr>
        <w:pStyle w:val="ListParagraph"/>
        <w:numPr>
          <w:ilvl w:val="0"/>
          <w:numId w:val="3"/>
        </w:numPr>
        <w:spacing w:after="40" w:before="40"/>
      </w:pPr>
      <w:r>
        <w:rPr>
          <w:rFonts w:ascii="Calibri" w:cs="Calibri" w:eastAsia="Calibri" w:hAnsi="Calibri"/>
          <w:color w:val="1A1A2E"/>
          <w:sz w:val="20"/>
          <w:szCs w:val="20"/>
        </w:rPr>
        <w:t xml:space="preserve">Online payment via payment gateway (see Section 16) — credit/debit card, UPI, net banking, wallets</w:t>
      </w:r>
    </w:p>
    <w:p>
      <w:pPr>
        <w:pStyle w:val="ListParagraph"/>
        <w:numPr>
          <w:ilvl w:val="0"/>
          <w:numId w:val="3"/>
        </w:numPr>
        <w:spacing w:after="40" w:before="40"/>
      </w:pPr>
      <w:r>
        <w:rPr>
          <w:rFonts w:ascii="Calibri" w:cs="Calibri" w:eastAsia="Calibri" w:hAnsi="Calibri"/>
          <w:color w:val="1A1A2E"/>
          <w:sz w:val="20"/>
          <w:szCs w:val="20"/>
        </w:rPr>
        <w:t xml:space="preserve">Counter/cash payment recording by finance staff</w:t>
      </w:r>
    </w:p>
    <w:p>
      <w:pPr>
        <w:pStyle w:val="ListParagraph"/>
        <w:numPr>
          <w:ilvl w:val="0"/>
          <w:numId w:val="3"/>
        </w:numPr>
        <w:spacing w:after="40" w:before="40"/>
      </w:pPr>
      <w:r>
        <w:rPr>
          <w:rFonts w:ascii="Calibri" w:cs="Calibri" w:eastAsia="Calibri" w:hAnsi="Calibri"/>
          <w:color w:val="1A1A2E"/>
          <w:sz w:val="20"/>
          <w:szCs w:val="20"/>
        </w:rPr>
        <w:t xml:space="preserve">Demand note / challan generation before payment</w:t>
      </w:r>
    </w:p>
    <w:p>
      <w:pPr>
        <w:pStyle w:val="ListParagraph"/>
        <w:numPr>
          <w:ilvl w:val="0"/>
          <w:numId w:val="3"/>
        </w:numPr>
        <w:spacing w:after="40" w:before="40"/>
      </w:pPr>
      <w:r>
        <w:rPr>
          <w:rFonts w:ascii="Calibri" w:cs="Calibri" w:eastAsia="Calibri" w:hAnsi="Calibri"/>
          <w:color w:val="1A1A2E"/>
          <w:sz w:val="20"/>
          <w:szCs w:val="20"/>
        </w:rPr>
        <w:t xml:space="preserve">Automated official receipt generation with unique receipt number</w:t>
      </w:r>
    </w:p>
    <w:p>
      <w:pPr>
        <w:pStyle w:val="ListParagraph"/>
        <w:numPr>
          <w:ilvl w:val="0"/>
          <w:numId w:val="3"/>
        </w:numPr>
        <w:spacing w:after="40" w:before="40"/>
      </w:pPr>
      <w:r>
        <w:rPr>
          <w:rFonts w:ascii="Calibri" w:cs="Calibri" w:eastAsia="Calibri" w:hAnsi="Calibri"/>
          <w:color w:val="1A1A2E"/>
          <w:sz w:val="20"/>
          <w:szCs w:val="20"/>
        </w:rPr>
        <w:t xml:space="preserve">Receipt delivery via email and student portal</w:t>
      </w:r>
    </w:p>
    <w:p>
      <w:pPr>
        <w:pStyle w:val="ListParagraph"/>
        <w:numPr>
          <w:ilvl w:val="0"/>
          <w:numId w:val="3"/>
        </w:numPr>
        <w:spacing w:after="40" w:before="40"/>
      </w:pPr>
      <w:r>
        <w:rPr>
          <w:rFonts w:ascii="Calibri" w:cs="Calibri" w:eastAsia="Calibri" w:hAnsi="Calibri"/>
          <w:color w:val="1A1A2E"/>
          <w:sz w:val="20"/>
          <w:szCs w:val="20"/>
        </w:rPr>
        <w:t xml:space="preserve">Bulk fee collection reports per batch/department</w:t>
      </w:r>
    </w:p>
    <w:p>
      <w:pPr>
        <w:pStyle w:val="ListParagraph"/>
        <w:numPr>
          <w:ilvl w:val="0"/>
          <w:numId w:val="3"/>
        </w:numPr>
        <w:spacing w:after="40" w:before="40"/>
      </w:pPr>
      <w:r>
        <w:rPr>
          <w:rFonts w:ascii="Calibri" w:cs="Calibri" w:eastAsia="Calibri" w:hAnsi="Calibri"/>
          <w:color w:val="1A1A2E"/>
          <w:sz w:val="20"/>
          <w:szCs w:val="20"/>
        </w:rPr>
        <w:t xml:space="preserve">Parent/student fee dues alert via SMS, email, and app notification</w:t>
      </w:r>
    </w:p>
    <w:p>
      <w:pPr>
        <w:pStyle w:val="Heading2"/>
        <w:spacing w:after="120" w:before="280"/>
      </w:pPr>
      <w:r>
        <w:rPr>
          <w:rFonts w:ascii="Calibri" w:cs="Calibri" w:eastAsia="Calibri" w:hAnsi="Calibri"/>
          <w:b/>
          <w:bCs/>
          <w:color w:val="2E75B6"/>
          <w:sz w:val="30"/>
          <w:szCs w:val="30"/>
        </w:rPr>
        <w:t xml:space="preserve">8.3 Fee Defaulter Management</w:t>
      </w:r>
    </w:p>
    <w:p>
      <w:pPr>
        <w:spacing w:after="80" w:before="60"/>
      </w:pPr>
      <w:r>
        <w:rPr>
          <w:rFonts w:ascii="Calibri" w:cs="Calibri" w:eastAsia="Calibri" w:hAnsi="Calibri"/>
          <w:color w:val="1A1A2E"/>
          <w:sz w:val="20"/>
          <w:szCs w:val="20"/>
        </w:rPr>
        <w:t xml:space="preserve">Automated defaulter list generation; configurable escalation workflow — reminder → warning → academic hold; hall ticket block for fee defaulters; report to HOD and Principal.</w:t>
      </w:r>
    </w:p>
    <w:p>
      <w:pPr>
        <w:pStyle w:val="Heading2"/>
        <w:spacing w:after="120" w:before="280"/>
      </w:pPr>
      <w:r>
        <w:rPr>
          <w:rFonts w:ascii="Calibri" w:cs="Calibri" w:eastAsia="Calibri" w:hAnsi="Calibri"/>
          <w:b/>
          <w:bCs/>
          <w:color w:val="2E75B6"/>
          <w:sz w:val="30"/>
          <w:szCs w:val="30"/>
        </w:rPr>
        <w:t xml:space="preserve">8.4 Scholarship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Feature</w:t>
            </w:r>
          </w:p>
        </w:tc>
        <w:tc>
          <w:tcPr>
            <w:tcW w:type="dxa" w:w="686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Scholarship Types</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Government scholarships (NSP, state), institutional merit scholarships, donor-funded, sports, differently-abled</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Application Workflow</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Student application → document upload → verification → approval → disbursement</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Disbursement Tracking</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Track scholarship amounts received vs credited; reconciliation with fee dues</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Government Portal Integration</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Integration with National Scholarship Portal (NSP) data for eligible students</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Reporting</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Scholarship utilization reports; beneficiary lists; disbursement summaries</w:t>
            </w:r>
          </w:p>
        </w:tc>
      </w:tr>
    </w:tbl>
    <w:p>
      <w:pPr>
        <w:pStyle w:val="Heading2"/>
        <w:spacing w:after="120" w:before="280"/>
      </w:pPr>
      <w:r>
        <w:rPr>
          <w:rFonts w:ascii="Calibri" w:cs="Calibri" w:eastAsia="Calibri" w:hAnsi="Calibri"/>
          <w:b/>
          <w:bCs/>
          <w:color w:val="2E75B6"/>
          <w:sz w:val="30"/>
          <w:szCs w:val="30"/>
        </w:rPr>
        <w:t xml:space="preserve">8.5 Accounts &amp; Financial Reports</w:t>
      </w:r>
    </w:p>
    <w:p>
      <w:pPr>
        <w:pStyle w:val="ListParagraph"/>
        <w:numPr>
          <w:ilvl w:val="0"/>
          <w:numId w:val="3"/>
        </w:numPr>
        <w:spacing w:after="40" w:before="40"/>
      </w:pPr>
      <w:r>
        <w:rPr>
          <w:rFonts w:ascii="Calibri" w:cs="Calibri" w:eastAsia="Calibri" w:hAnsi="Calibri"/>
          <w:color w:val="1A1A2E"/>
          <w:sz w:val="20"/>
          <w:szCs w:val="20"/>
        </w:rPr>
        <w:t xml:space="preserve">Day book — daily collection summary by payment mode</w:t>
      </w:r>
    </w:p>
    <w:p>
      <w:pPr>
        <w:pStyle w:val="ListParagraph"/>
        <w:numPr>
          <w:ilvl w:val="0"/>
          <w:numId w:val="3"/>
        </w:numPr>
        <w:spacing w:after="40" w:before="40"/>
      </w:pPr>
      <w:r>
        <w:rPr>
          <w:rFonts w:ascii="Calibri" w:cs="Calibri" w:eastAsia="Calibri" w:hAnsi="Calibri"/>
          <w:color w:val="1A1A2E"/>
          <w:sz w:val="20"/>
          <w:szCs w:val="20"/>
        </w:rPr>
        <w:t xml:space="preserve">Fee head-wise collection report</w:t>
      </w:r>
    </w:p>
    <w:p>
      <w:pPr>
        <w:pStyle w:val="ListParagraph"/>
        <w:numPr>
          <w:ilvl w:val="0"/>
          <w:numId w:val="3"/>
        </w:numPr>
        <w:spacing w:after="40" w:before="40"/>
      </w:pPr>
      <w:r>
        <w:rPr>
          <w:rFonts w:ascii="Calibri" w:cs="Calibri" w:eastAsia="Calibri" w:hAnsi="Calibri"/>
          <w:color w:val="1A1A2E"/>
          <w:sz w:val="20"/>
          <w:szCs w:val="20"/>
        </w:rPr>
        <w:t xml:space="preserve">Department / batch-wise fee status report</w:t>
      </w:r>
    </w:p>
    <w:p>
      <w:pPr>
        <w:pStyle w:val="ListParagraph"/>
        <w:numPr>
          <w:ilvl w:val="0"/>
          <w:numId w:val="3"/>
        </w:numPr>
        <w:spacing w:after="40" w:before="40"/>
      </w:pPr>
      <w:r>
        <w:rPr>
          <w:rFonts w:ascii="Calibri" w:cs="Calibri" w:eastAsia="Calibri" w:hAnsi="Calibri"/>
          <w:color w:val="1A1A2E"/>
          <w:sz w:val="20"/>
          <w:szCs w:val="20"/>
        </w:rPr>
        <w:t xml:space="preserve">Outstanding dues report with aging analysis</w:t>
      </w:r>
    </w:p>
    <w:p>
      <w:pPr>
        <w:pStyle w:val="ListParagraph"/>
        <w:numPr>
          <w:ilvl w:val="0"/>
          <w:numId w:val="3"/>
        </w:numPr>
        <w:spacing w:after="40" w:before="40"/>
      </w:pPr>
      <w:r>
        <w:rPr>
          <w:rFonts w:ascii="Calibri" w:cs="Calibri" w:eastAsia="Calibri" w:hAnsi="Calibri"/>
          <w:color w:val="1A1A2E"/>
          <w:sz w:val="20"/>
          <w:szCs w:val="20"/>
        </w:rPr>
        <w:t xml:space="preserve">Receipt register and cancellation log</w:t>
      </w:r>
    </w:p>
    <w:p>
      <w:pPr>
        <w:pStyle w:val="ListParagraph"/>
        <w:numPr>
          <w:ilvl w:val="0"/>
          <w:numId w:val="3"/>
        </w:numPr>
        <w:spacing w:after="40" w:before="40"/>
      </w:pPr>
      <w:r>
        <w:rPr>
          <w:rFonts w:ascii="Calibri" w:cs="Calibri" w:eastAsia="Calibri" w:hAnsi="Calibri"/>
          <w:color w:val="1A1A2E"/>
          <w:sz w:val="20"/>
          <w:szCs w:val="20"/>
        </w:rPr>
        <w:t xml:space="preserve">Concession and scholarship utilization report</w:t>
      </w:r>
    </w:p>
    <w:p>
      <w:pPr>
        <w:pStyle w:val="ListParagraph"/>
        <w:numPr>
          <w:ilvl w:val="0"/>
          <w:numId w:val="3"/>
        </w:numPr>
        <w:spacing w:after="40" w:before="40"/>
      </w:pPr>
      <w:r>
        <w:rPr>
          <w:rFonts w:ascii="Calibri" w:cs="Calibri" w:eastAsia="Calibri" w:hAnsi="Calibri"/>
          <w:color w:val="1A1A2E"/>
          <w:sz w:val="20"/>
          <w:szCs w:val="20"/>
        </w:rPr>
        <w:t xml:space="preserve">Revenue forecasting vs actual collection dashboard</w:t>
      </w:r>
    </w:p>
    <w:p>
      <w:pPr>
        <w:pStyle w:val="ListParagraph"/>
        <w:numPr>
          <w:ilvl w:val="0"/>
          <w:numId w:val="3"/>
        </w:numPr>
        <w:spacing w:after="40" w:before="40"/>
      </w:pPr>
      <w:r>
        <w:rPr>
          <w:rFonts w:ascii="Calibri" w:cs="Calibri" w:eastAsia="Calibri" w:hAnsi="Calibri"/>
          <w:color w:val="1A1A2E"/>
          <w:sz w:val="20"/>
          <w:szCs w:val="20"/>
        </w:rPr>
        <w:t xml:space="preserve">Export to Excel, PDF, and integration with Tally / ERP</w:t>
      </w:r>
    </w:p>
    <w:p>
      <w:r>
        <w:br w:type="page"/>
      </w:r>
    </w:p>
    <w:p>
      <w:pPr>
        <w:pStyle w:val="Heading1"/>
        <w:pBdr>
          <w:bottom w:val="single" w:color="2E75B6" w:sz="6" w:space="4"/>
        </w:pBdr>
        <w:spacing w:after="200" w:before="400"/>
      </w:pPr>
      <w:r>
        <w:rPr>
          <w:rFonts w:ascii="Calibri" w:cs="Calibri" w:eastAsia="Calibri" w:hAnsi="Calibri"/>
          <w:b/>
          <w:bCs/>
          <w:color w:val="1B3A6B"/>
          <w:sz w:val="40"/>
          <w:szCs w:val="40"/>
        </w:rPr>
        <w:t xml:space="preserve">9. Hostel Management</w:t>
      </w:r>
    </w:p>
    <w:p>
      <w:pPr>
        <w:spacing w:after="80" w:before="60"/>
      </w:pPr>
      <w:r>
        <w:rPr>
          <w:rFonts w:ascii="Calibri" w:cs="Calibri" w:eastAsia="Calibri" w:hAnsi="Calibri"/>
          <w:color w:val="1A1A2E"/>
          <w:sz w:val="20"/>
          <w:szCs w:val="20"/>
        </w:rPr>
        <w:t xml:space="preserve">The Hostel Management module handles all aspects of residential facility management — from application to vacating — accessible by students, parents, Hostel Warden, and Admin.</w:t>
      </w:r>
    </w:p>
    <w:p>
      <w:pPr>
        <w:pStyle w:val="Heading2"/>
        <w:spacing w:after="120" w:before="280"/>
      </w:pPr>
      <w:r>
        <w:rPr>
          <w:rFonts w:ascii="Calibri" w:cs="Calibri" w:eastAsia="Calibri" w:hAnsi="Calibri"/>
          <w:b/>
          <w:bCs/>
          <w:color w:val="2E75B6"/>
          <w:sz w:val="30"/>
          <w:szCs w:val="30"/>
        </w:rPr>
        <w:t xml:space="preserve">9.1 Hostel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Feature</w:t>
            </w:r>
          </w:p>
        </w:tc>
        <w:tc>
          <w:tcPr>
            <w:tcW w:type="dxa" w:w="686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Hostel Master</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Define multiple hostels (boys, girls, separate blocks); block, floor, and room hierarchy setup</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Room Types</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Single, double, triple, dormitory; configure amenities per room type</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Room Availability</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Real-time room occupancy dashboard; vacancy tracking; maintenance room flagging</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Mess Configuration</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Define mess plans; monthly menu upload; mess fee configuration</w:t>
            </w:r>
          </w:p>
        </w:tc>
      </w:tr>
    </w:tbl>
    <w:p>
      <w:pPr>
        <w:pStyle w:val="Heading2"/>
        <w:spacing w:after="120" w:before="280"/>
      </w:pPr>
      <w:r>
        <w:rPr>
          <w:rFonts w:ascii="Calibri" w:cs="Calibri" w:eastAsia="Calibri" w:hAnsi="Calibri"/>
          <w:b/>
          <w:bCs/>
          <w:color w:val="2E75B6"/>
          <w:sz w:val="30"/>
          <w:szCs w:val="30"/>
        </w:rPr>
        <w:t xml:space="preserve">9.2 Hostel Allocation</w:t>
      </w:r>
    </w:p>
    <w:p>
      <w:pPr>
        <w:pStyle w:val="ListParagraph"/>
        <w:numPr>
          <w:ilvl w:val="0"/>
          <w:numId w:val="3"/>
        </w:numPr>
        <w:spacing w:after="40" w:before="40"/>
      </w:pPr>
      <w:r>
        <w:rPr>
          <w:rFonts w:ascii="Calibri" w:cs="Calibri" w:eastAsia="Calibri" w:hAnsi="Calibri"/>
          <w:color w:val="1A1A2E"/>
          <w:sz w:val="20"/>
          <w:szCs w:val="20"/>
        </w:rPr>
        <w:t xml:space="preserve">Student hostel application from portal</w:t>
      </w:r>
    </w:p>
    <w:p>
      <w:pPr>
        <w:pStyle w:val="ListParagraph"/>
        <w:numPr>
          <w:ilvl w:val="0"/>
          <w:numId w:val="3"/>
        </w:numPr>
        <w:spacing w:after="40" w:before="40"/>
      </w:pPr>
      <w:r>
        <w:rPr>
          <w:rFonts w:ascii="Calibri" w:cs="Calibri" w:eastAsia="Calibri" w:hAnsi="Calibri"/>
          <w:color w:val="1A1A2E"/>
          <w:sz w:val="20"/>
          <w:szCs w:val="20"/>
        </w:rPr>
        <w:t xml:space="preserve">Preference-based allocation (room type, block, roommate preference)</w:t>
      </w:r>
    </w:p>
    <w:p>
      <w:pPr>
        <w:pStyle w:val="ListParagraph"/>
        <w:numPr>
          <w:ilvl w:val="0"/>
          <w:numId w:val="3"/>
        </w:numPr>
        <w:spacing w:after="40" w:before="40"/>
      </w:pPr>
      <w:r>
        <w:rPr>
          <w:rFonts w:ascii="Calibri" w:cs="Calibri" w:eastAsia="Calibri" w:hAnsi="Calibri"/>
          <w:color w:val="1A1A2E"/>
          <w:sz w:val="20"/>
          <w:szCs w:val="20"/>
        </w:rPr>
        <w:t xml:space="preserve">Admin-controlled allocation with override capability</w:t>
      </w:r>
    </w:p>
    <w:p>
      <w:pPr>
        <w:pStyle w:val="ListParagraph"/>
        <w:numPr>
          <w:ilvl w:val="0"/>
          <w:numId w:val="3"/>
        </w:numPr>
        <w:spacing w:after="40" w:before="40"/>
      </w:pPr>
      <w:r>
        <w:rPr>
          <w:rFonts w:ascii="Calibri" w:cs="Calibri" w:eastAsia="Calibri" w:hAnsi="Calibri"/>
          <w:color w:val="1A1A2E"/>
          <w:sz w:val="20"/>
          <w:szCs w:val="20"/>
        </w:rPr>
        <w:t xml:space="preserve">Allocation confirmation letter and fee invoice generation</w:t>
      </w:r>
    </w:p>
    <w:p>
      <w:pPr>
        <w:pStyle w:val="ListParagraph"/>
        <w:numPr>
          <w:ilvl w:val="0"/>
          <w:numId w:val="3"/>
        </w:numPr>
        <w:spacing w:after="40" w:before="40"/>
      </w:pPr>
      <w:r>
        <w:rPr>
          <w:rFonts w:ascii="Calibri" w:cs="Calibri" w:eastAsia="Calibri" w:hAnsi="Calibri"/>
          <w:color w:val="1A1A2E"/>
          <w:sz w:val="20"/>
          <w:szCs w:val="20"/>
        </w:rPr>
        <w:t xml:space="preserve">Room change request workflow with warden approval</w:t>
      </w:r>
    </w:p>
    <w:p>
      <w:pPr>
        <w:pStyle w:val="ListParagraph"/>
        <w:numPr>
          <w:ilvl w:val="0"/>
          <w:numId w:val="3"/>
        </w:numPr>
        <w:spacing w:after="40" w:before="40"/>
      </w:pPr>
      <w:r>
        <w:rPr>
          <w:rFonts w:ascii="Calibri" w:cs="Calibri" w:eastAsia="Calibri" w:hAnsi="Calibri"/>
          <w:color w:val="1A1A2E"/>
          <w:sz w:val="20"/>
          <w:szCs w:val="20"/>
        </w:rPr>
        <w:t xml:space="preserve">Vacating request and clearance process</w:t>
      </w:r>
    </w:p>
    <w:p>
      <w:pPr>
        <w:pStyle w:val="Heading2"/>
        <w:spacing w:after="120" w:before="280"/>
      </w:pPr>
      <w:r>
        <w:rPr>
          <w:rFonts w:ascii="Calibri" w:cs="Calibri" w:eastAsia="Calibri" w:hAnsi="Calibri"/>
          <w:b/>
          <w:bCs/>
          <w:color w:val="2E75B6"/>
          <w:sz w:val="30"/>
          <w:szCs w:val="30"/>
        </w:rPr>
        <w:t xml:space="preserve">9.3 Hostel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Feature</w:t>
            </w:r>
          </w:p>
        </w:tc>
        <w:tc>
          <w:tcPr>
            <w:tcW w:type="dxa" w:w="686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Attendance &amp; Curfew</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In/out register (manual or biometric); curfew timing configuration; late entry logging</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Visitor Management</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Visitor log with entry/exit time, purpose, and relationship verification</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Incident &amp; Complaint</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Incident/complaint logging by warden; escalation to admin; resolution tracking</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Maintenance Requests</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Student maintenance request (plumbing, electrical, furniture); warden assignment; status tracking</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Mess Management</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Daily meal attendance; mess fee collection; menu publishing; feedback collection</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Leave Management</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Student out-pass request (home visit, medical); warden approval; automated parent notification</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Laundry Management</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Laundry slot booking; laundry service tracking (if applicable)</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Warden Dashboard</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Occupancy overview, attendance status, pending requests, incident summary</w:t>
            </w:r>
          </w:p>
        </w:tc>
      </w:tr>
    </w:tbl>
    <w:p>
      <w:pPr>
        <w:pStyle w:val="Heading2"/>
        <w:spacing w:after="120" w:before="280"/>
      </w:pPr>
      <w:r>
        <w:rPr>
          <w:rFonts w:ascii="Calibri" w:cs="Calibri" w:eastAsia="Calibri" w:hAnsi="Calibri"/>
          <w:b/>
          <w:bCs/>
          <w:color w:val="2E75B6"/>
          <w:sz w:val="30"/>
          <w:szCs w:val="30"/>
        </w:rPr>
        <w:t xml:space="preserve">9.4 Hostel Fee Integration</w:t>
      </w:r>
    </w:p>
    <w:p>
      <w:pPr>
        <w:spacing w:after="80" w:before="60"/>
      </w:pPr>
      <w:r>
        <w:rPr>
          <w:rFonts w:ascii="Calibri" w:cs="Calibri" w:eastAsia="Calibri" w:hAnsi="Calibri"/>
          <w:color w:val="1A1A2E"/>
          <w:sz w:val="20"/>
          <w:szCs w:val="20"/>
        </w:rPr>
        <w:t xml:space="preserve">Hostel fees automatically linked to student fee profile. Configurable by semester/month. Mess charges computed based on mess attendance if applicable. Late fee rules, refund on early vacating, and adjustment workflows are supported.</w:t>
      </w:r>
    </w:p>
    <w:p>
      <w:r>
        <w:br w:type="page"/>
      </w:r>
    </w:p>
    <w:p>
      <w:pPr>
        <w:pStyle w:val="Heading1"/>
        <w:pBdr>
          <w:bottom w:val="single" w:color="2E75B6" w:sz="6" w:space="4"/>
        </w:pBdr>
        <w:spacing w:after="200" w:before="400"/>
      </w:pPr>
      <w:r>
        <w:rPr>
          <w:rFonts w:ascii="Calibri" w:cs="Calibri" w:eastAsia="Calibri" w:hAnsi="Calibri"/>
          <w:b/>
          <w:bCs/>
          <w:color w:val="1B3A6B"/>
          <w:sz w:val="40"/>
          <w:szCs w:val="40"/>
        </w:rPr>
        <w:t xml:space="preserve">10. Transport Management</w:t>
      </w:r>
    </w:p>
    <w:p>
      <w:pPr>
        <w:pStyle w:val="Heading2"/>
        <w:spacing w:after="120" w:before="280"/>
      </w:pPr>
      <w:r>
        <w:rPr>
          <w:rFonts w:ascii="Calibri" w:cs="Calibri" w:eastAsia="Calibri" w:hAnsi="Calibri"/>
          <w:b/>
          <w:bCs/>
          <w:color w:val="2E75B6"/>
          <w:sz w:val="30"/>
          <w:szCs w:val="30"/>
        </w:rPr>
        <w:t xml:space="preserve">10.1 Route &amp; Vehicle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Feature</w:t>
            </w:r>
          </w:p>
        </w:tc>
        <w:tc>
          <w:tcPr>
            <w:tcW w:type="dxa" w:w="686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Route Master</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Define routes with stops, distance, and estimated time; route map with GPS waypoints</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Vehicle Master</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Vehicle registration, capacity, type, insurance, fitness certificate, permit details</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Driver &amp; Staff</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Driver profile, license details, contact, assignment to vehicle and route</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Stop Management</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Define stops on each route; boarding point assignment to students</w:t>
            </w:r>
          </w:p>
        </w:tc>
      </w:tr>
    </w:tbl>
    <w:p>
      <w:pPr>
        <w:pStyle w:val="Heading2"/>
        <w:spacing w:after="120" w:before="280"/>
      </w:pPr>
      <w:r>
        <w:rPr>
          <w:rFonts w:ascii="Calibri" w:cs="Calibri" w:eastAsia="Calibri" w:hAnsi="Calibri"/>
          <w:b/>
          <w:bCs/>
          <w:color w:val="2E75B6"/>
          <w:sz w:val="30"/>
          <w:szCs w:val="30"/>
        </w:rPr>
        <w:t xml:space="preserve">10.2 Student Transport Allocation</w:t>
      </w:r>
    </w:p>
    <w:p>
      <w:pPr>
        <w:spacing w:after="80" w:before="60"/>
      </w:pPr>
      <w:r>
        <w:rPr>
          <w:rFonts w:ascii="Calibri" w:cs="Calibri" w:eastAsia="Calibri" w:hAnsi="Calibri"/>
          <w:color w:val="1A1A2E"/>
          <w:sz w:val="20"/>
          <w:szCs w:val="20"/>
        </w:rPr>
        <w:t xml:space="preserve">Student transport registration with route and stop preference. Admin allocation or self-service. Transport fee auto-linked to student fee profile. Route change request management.</w:t>
      </w:r>
    </w:p>
    <w:p>
      <w:pPr>
        <w:pStyle w:val="Heading2"/>
        <w:spacing w:after="120" w:before="280"/>
      </w:pPr>
      <w:r>
        <w:rPr>
          <w:rFonts w:ascii="Calibri" w:cs="Calibri" w:eastAsia="Calibri" w:hAnsi="Calibri"/>
          <w:b/>
          <w:bCs/>
          <w:color w:val="2E75B6"/>
          <w:sz w:val="30"/>
          <w:szCs w:val="30"/>
        </w:rPr>
        <w:t xml:space="preserve">10.3 GPS Tracking &amp; Live Monitoring</w:t>
      </w:r>
    </w:p>
    <w:p>
      <w:pPr>
        <w:pStyle w:val="ListParagraph"/>
        <w:numPr>
          <w:ilvl w:val="0"/>
          <w:numId w:val="3"/>
        </w:numPr>
        <w:spacing w:after="40" w:before="40"/>
      </w:pPr>
      <w:r>
        <w:rPr>
          <w:rFonts w:ascii="Calibri" w:cs="Calibri" w:eastAsia="Calibri" w:hAnsi="Calibri"/>
          <w:color w:val="1A1A2E"/>
          <w:sz w:val="20"/>
          <w:szCs w:val="20"/>
        </w:rPr>
        <w:t xml:space="preserve">Real-time GPS tracking of college vehicles via mobile app and web dashboard</w:t>
      </w:r>
    </w:p>
    <w:p>
      <w:pPr>
        <w:pStyle w:val="ListParagraph"/>
        <w:numPr>
          <w:ilvl w:val="0"/>
          <w:numId w:val="3"/>
        </w:numPr>
        <w:spacing w:after="40" w:before="40"/>
      </w:pPr>
      <w:r>
        <w:rPr>
          <w:rFonts w:ascii="Calibri" w:cs="Calibri" w:eastAsia="Calibri" w:hAnsi="Calibri"/>
          <w:color w:val="1A1A2E"/>
          <w:sz w:val="20"/>
          <w:szCs w:val="20"/>
        </w:rPr>
        <w:t xml:space="preserve">Estimated time of arrival (ETA) at each stop shared with students and parents</w:t>
      </w:r>
    </w:p>
    <w:p>
      <w:pPr>
        <w:pStyle w:val="ListParagraph"/>
        <w:numPr>
          <w:ilvl w:val="0"/>
          <w:numId w:val="3"/>
        </w:numPr>
        <w:spacing w:after="40" w:before="40"/>
      </w:pPr>
      <w:r>
        <w:rPr>
          <w:rFonts w:ascii="Calibri" w:cs="Calibri" w:eastAsia="Calibri" w:hAnsi="Calibri"/>
          <w:color w:val="1A1A2E"/>
          <w:sz w:val="20"/>
          <w:szCs w:val="20"/>
        </w:rPr>
        <w:t xml:space="preserve">Route deviation alerts for transport manager</w:t>
      </w:r>
    </w:p>
    <w:p>
      <w:pPr>
        <w:pStyle w:val="ListParagraph"/>
        <w:numPr>
          <w:ilvl w:val="0"/>
          <w:numId w:val="3"/>
        </w:numPr>
        <w:spacing w:after="40" w:before="40"/>
      </w:pPr>
      <w:r>
        <w:rPr>
          <w:rFonts w:ascii="Calibri" w:cs="Calibri" w:eastAsia="Calibri" w:hAnsi="Calibri"/>
          <w:color w:val="1A1A2E"/>
          <w:sz w:val="20"/>
          <w:szCs w:val="20"/>
        </w:rPr>
        <w:t xml:space="preserve">Speed monitoring and over-speed alerts</w:t>
      </w:r>
    </w:p>
    <w:p>
      <w:pPr>
        <w:pStyle w:val="ListParagraph"/>
        <w:numPr>
          <w:ilvl w:val="0"/>
          <w:numId w:val="3"/>
        </w:numPr>
        <w:spacing w:after="40" w:before="40"/>
      </w:pPr>
      <w:r>
        <w:rPr>
          <w:rFonts w:ascii="Calibri" w:cs="Calibri" w:eastAsia="Calibri" w:hAnsi="Calibri"/>
          <w:color w:val="1A1A2E"/>
          <w:sz w:val="20"/>
          <w:szCs w:val="20"/>
        </w:rPr>
        <w:t xml:space="preserve">Daily trip start/end logging</w:t>
      </w:r>
    </w:p>
    <w:p>
      <w:pPr>
        <w:pStyle w:val="ListParagraph"/>
        <w:numPr>
          <w:ilvl w:val="0"/>
          <w:numId w:val="3"/>
        </w:numPr>
        <w:spacing w:after="40" w:before="40"/>
      </w:pPr>
      <w:r>
        <w:rPr>
          <w:rFonts w:ascii="Calibri" w:cs="Calibri" w:eastAsia="Calibri" w:hAnsi="Calibri"/>
          <w:color w:val="1A1A2E"/>
          <w:sz w:val="20"/>
          <w:szCs w:val="20"/>
        </w:rPr>
        <w:t xml:space="preserve">Emergency SOS button in driver app</w:t>
      </w:r>
    </w:p>
    <w:p>
      <w:pPr>
        <w:pStyle w:val="ListParagraph"/>
        <w:numPr>
          <w:ilvl w:val="0"/>
          <w:numId w:val="3"/>
        </w:numPr>
        <w:spacing w:after="40" w:before="40"/>
      </w:pPr>
      <w:r>
        <w:rPr>
          <w:rFonts w:ascii="Calibri" w:cs="Calibri" w:eastAsia="Calibri" w:hAnsi="Calibri"/>
          <w:color w:val="1A1A2E"/>
          <w:sz w:val="20"/>
          <w:szCs w:val="20"/>
        </w:rPr>
        <w:t xml:space="preserve">Historical trip replay for each vehicle</w:t>
      </w:r>
    </w:p>
    <w:p>
      <w:pPr>
        <w:pStyle w:val="Heading2"/>
        <w:spacing w:after="120" w:before="280"/>
      </w:pPr>
      <w:r>
        <w:rPr>
          <w:rFonts w:ascii="Calibri" w:cs="Calibri" w:eastAsia="Calibri" w:hAnsi="Calibri"/>
          <w:b/>
          <w:bCs/>
          <w:color w:val="2E75B6"/>
          <w:sz w:val="30"/>
          <w:szCs w:val="30"/>
        </w:rPr>
        <w:t xml:space="preserve">10.4 Transport Fee Management</w:t>
      </w:r>
    </w:p>
    <w:p>
      <w:pPr>
        <w:spacing w:after="80" w:before="60"/>
      </w:pPr>
      <w:r>
        <w:rPr>
          <w:rFonts w:ascii="Calibri" w:cs="Calibri" w:eastAsia="Calibri" w:hAnsi="Calibri"/>
          <w:color w:val="1A1A2E"/>
          <w:sz w:val="20"/>
          <w:szCs w:val="20"/>
        </w:rPr>
        <w:t xml:space="preserve">Configurable transport fee by route, stop, and academic term. Fee invoice integrated with student fee module. Defaulter management with route access control.</w:t>
      </w:r>
    </w:p>
    <w:p>
      <w:r>
        <w:br w:type="page"/>
      </w:r>
    </w:p>
    <w:p>
      <w:pPr>
        <w:pStyle w:val="Heading1"/>
        <w:pBdr>
          <w:bottom w:val="single" w:color="2E75B6" w:sz="6" w:space="4"/>
        </w:pBdr>
        <w:spacing w:after="200" w:before="400"/>
      </w:pPr>
      <w:r>
        <w:rPr>
          <w:rFonts w:ascii="Calibri" w:cs="Calibri" w:eastAsia="Calibri" w:hAnsi="Calibri"/>
          <w:b/>
          <w:bCs/>
          <w:color w:val="1B3A6B"/>
          <w:sz w:val="40"/>
          <w:szCs w:val="40"/>
        </w:rPr>
        <w:t xml:space="preserve">11. Library Management</w:t>
      </w:r>
    </w:p>
    <w:p>
      <w:pPr>
        <w:pStyle w:val="Heading2"/>
        <w:spacing w:after="120" w:before="280"/>
      </w:pPr>
      <w:r>
        <w:rPr>
          <w:rFonts w:ascii="Calibri" w:cs="Calibri" w:eastAsia="Calibri" w:hAnsi="Calibri"/>
          <w:b/>
          <w:bCs/>
          <w:color w:val="2E75B6"/>
          <w:sz w:val="30"/>
          <w:szCs w:val="30"/>
        </w:rPr>
        <w:t xml:space="preserve">11.1 Catalog &amp; Book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Feature</w:t>
            </w:r>
          </w:p>
        </w:tc>
        <w:tc>
          <w:tcPr>
            <w:tcW w:type="dxa" w:w="686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Book Catalog</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Add books with ISBN, title, author, publisher, edition, subject, keywords, location, copies</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Barcode / RFID</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Barcode or RFID tag assignment for each copy; scanner-based issue/return</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Accession Register</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Digital accession register with date of acquisition, cost, source, and condition</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Category Management</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Dewey Decimal or custom classification; subject and department-wise categorization</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Digital Resources</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E-book and e-journal links; access control; digital library portal</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Book Search</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OPAC (Online Public Access Catalog) for student self-search via web and app</w:t>
            </w:r>
          </w:p>
        </w:tc>
      </w:tr>
    </w:tbl>
    <w:p>
      <w:pPr>
        <w:pStyle w:val="Heading2"/>
        <w:spacing w:after="120" w:before="280"/>
      </w:pPr>
      <w:r>
        <w:rPr>
          <w:rFonts w:ascii="Calibri" w:cs="Calibri" w:eastAsia="Calibri" w:hAnsi="Calibri"/>
          <w:b/>
          <w:bCs/>
          <w:color w:val="2E75B6"/>
          <w:sz w:val="30"/>
          <w:szCs w:val="30"/>
        </w:rPr>
        <w:t xml:space="preserve">11.2 Issue, Return &amp; Reservation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Feature</w:t>
            </w:r>
          </w:p>
        </w:tc>
        <w:tc>
          <w:tcPr>
            <w:tcW w:type="dxa" w:w="686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Book Issue</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Issue books to students and staff; configurable max books and issue period by member type</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Book Return</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Return processing; condition check; automatic fine calculation for overdue</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Book Reservation</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Reserve currently issued books; notification when book is returned</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Renewals</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Self-service renewal via portal/app; max renewal limit; renewal blocked if reserved</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Overdue &amp; Fine</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Configurable fine per day per book; fine collection integrated with fee module</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Lost Book</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Lost book reporting; replacement cost billing; blocking further issues until cleared</w:t>
            </w:r>
          </w:p>
        </w:tc>
      </w:tr>
    </w:tbl>
    <w:p>
      <w:pPr>
        <w:pStyle w:val="Heading2"/>
        <w:spacing w:after="120" w:before="280"/>
      </w:pPr>
      <w:r>
        <w:rPr>
          <w:rFonts w:ascii="Calibri" w:cs="Calibri" w:eastAsia="Calibri" w:hAnsi="Calibri"/>
          <w:b/>
          <w:bCs/>
          <w:color w:val="2E75B6"/>
          <w:sz w:val="30"/>
          <w:szCs w:val="30"/>
        </w:rPr>
        <w:t xml:space="preserve">11.3 Library Reports</w:t>
      </w:r>
    </w:p>
    <w:p>
      <w:pPr>
        <w:pStyle w:val="ListParagraph"/>
        <w:numPr>
          <w:ilvl w:val="0"/>
          <w:numId w:val="3"/>
        </w:numPr>
        <w:spacing w:after="40" w:before="40"/>
      </w:pPr>
      <w:r>
        <w:rPr>
          <w:rFonts w:ascii="Calibri" w:cs="Calibri" w:eastAsia="Calibri" w:hAnsi="Calibri"/>
          <w:color w:val="1A1A2E"/>
          <w:sz w:val="20"/>
          <w:szCs w:val="20"/>
        </w:rPr>
        <w:t xml:space="preserve">Books issued / returned per day, week, month</w:t>
      </w:r>
    </w:p>
    <w:p>
      <w:pPr>
        <w:pStyle w:val="ListParagraph"/>
        <w:numPr>
          <w:ilvl w:val="0"/>
          <w:numId w:val="3"/>
        </w:numPr>
        <w:spacing w:after="40" w:before="40"/>
      </w:pPr>
      <w:r>
        <w:rPr>
          <w:rFonts w:ascii="Calibri" w:cs="Calibri" w:eastAsia="Calibri" w:hAnsi="Calibri"/>
          <w:color w:val="1A1A2E"/>
          <w:sz w:val="20"/>
          <w:szCs w:val="20"/>
        </w:rPr>
        <w:t xml:space="preserve">Overdue books list with member contact for follow-up</w:t>
      </w:r>
    </w:p>
    <w:p>
      <w:pPr>
        <w:pStyle w:val="ListParagraph"/>
        <w:numPr>
          <w:ilvl w:val="0"/>
          <w:numId w:val="3"/>
        </w:numPr>
        <w:spacing w:after="40" w:before="40"/>
      </w:pPr>
      <w:r>
        <w:rPr>
          <w:rFonts w:ascii="Calibri" w:cs="Calibri" w:eastAsia="Calibri" w:hAnsi="Calibri"/>
          <w:color w:val="1A1A2E"/>
          <w:sz w:val="20"/>
          <w:szCs w:val="20"/>
        </w:rPr>
        <w:t xml:space="preserve">Most borrowed books — popularity analytics</w:t>
      </w:r>
    </w:p>
    <w:p>
      <w:pPr>
        <w:pStyle w:val="ListParagraph"/>
        <w:numPr>
          <w:ilvl w:val="0"/>
          <w:numId w:val="3"/>
        </w:numPr>
        <w:spacing w:after="40" w:before="40"/>
      </w:pPr>
      <w:r>
        <w:rPr>
          <w:rFonts w:ascii="Calibri" w:cs="Calibri" w:eastAsia="Calibri" w:hAnsi="Calibri"/>
          <w:color w:val="1A1A2E"/>
          <w:sz w:val="20"/>
          <w:szCs w:val="20"/>
        </w:rPr>
        <w:t xml:space="preserve">Books never borrowed — idle stock report</w:t>
      </w:r>
    </w:p>
    <w:p>
      <w:pPr>
        <w:pStyle w:val="ListParagraph"/>
        <w:numPr>
          <w:ilvl w:val="0"/>
          <w:numId w:val="3"/>
        </w:numPr>
        <w:spacing w:after="40" w:before="40"/>
      </w:pPr>
      <w:r>
        <w:rPr>
          <w:rFonts w:ascii="Calibri" w:cs="Calibri" w:eastAsia="Calibri" w:hAnsi="Calibri"/>
          <w:color w:val="1A1A2E"/>
          <w:sz w:val="20"/>
          <w:szCs w:val="20"/>
        </w:rPr>
        <w:t xml:space="preserve">Fine collection report</w:t>
      </w:r>
    </w:p>
    <w:p>
      <w:pPr>
        <w:pStyle w:val="ListParagraph"/>
        <w:numPr>
          <w:ilvl w:val="0"/>
          <w:numId w:val="3"/>
        </w:numPr>
        <w:spacing w:after="40" w:before="40"/>
      </w:pPr>
      <w:r>
        <w:rPr>
          <w:rFonts w:ascii="Calibri" w:cs="Calibri" w:eastAsia="Calibri" w:hAnsi="Calibri"/>
          <w:color w:val="1A1A2E"/>
          <w:sz w:val="20"/>
          <w:szCs w:val="20"/>
        </w:rPr>
        <w:t xml:space="preserve">Budget utilization and acquisition report</w:t>
      </w:r>
    </w:p>
    <w:p>
      <w:pPr>
        <w:pStyle w:val="ListParagraph"/>
        <w:numPr>
          <w:ilvl w:val="0"/>
          <w:numId w:val="3"/>
        </w:numPr>
        <w:spacing w:after="40" w:before="40"/>
      </w:pPr>
      <w:r>
        <w:rPr>
          <w:rFonts w:ascii="Calibri" w:cs="Calibri" w:eastAsia="Calibri" w:hAnsi="Calibri"/>
          <w:color w:val="1A1A2E"/>
          <w:sz w:val="20"/>
          <w:szCs w:val="20"/>
        </w:rPr>
        <w:t xml:space="preserve">Stock verification / audit report</w:t>
      </w:r>
    </w:p>
    <w:p>
      <w:r>
        <w:br w:type="page"/>
      </w:r>
    </w:p>
    <w:p>
      <w:pPr>
        <w:pStyle w:val="Heading1"/>
        <w:pBdr>
          <w:bottom w:val="single" w:color="2E75B6" w:sz="6" w:space="4"/>
        </w:pBdr>
        <w:spacing w:after="200" w:before="400"/>
      </w:pPr>
      <w:r>
        <w:rPr>
          <w:rFonts w:ascii="Calibri" w:cs="Calibri" w:eastAsia="Calibri" w:hAnsi="Calibri"/>
          <w:b/>
          <w:bCs/>
          <w:color w:val="1B3A6B"/>
          <w:sz w:val="40"/>
          <w:szCs w:val="40"/>
        </w:rPr>
        <w:t xml:space="preserve">12. Attendance Management</w:t>
      </w:r>
    </w:p>
    <w:p>
      <w:pPr>
        <w:spacing w:after="80" w:before="60"/>
      </w:pPr>
      <w:r>
        <w:rPr>
          <w:rFonts w:ascii="Calibri" w:cs="Calibri" w:eastAsia="Calibri" w:hAnsi="Calibri"/>
          <w:color w:val="1A1A2E"/>
          <w:sz w:val="20"/>
          <w:szCs w:val="20"/>
        </w:rPr>
        <w:t xml:space="preserve">The Attendance Management module supports multiple attendance capture methods and provides real-time visibility to students, parents, faculty, HOD, and administration.</w:t>
      </w:r>
    </w:p>
    <w:p>
      <w:pPr>
        <w:pStyle w:val="Heading2"/>
        <w:spacing w:after="120" w:before="280"/>
      </w:pPr>
      <w:r>
        <w:rPr>
          <w:rFonts w:ascii="Calibri" w:cs="Calibri" w:eastAsia="Calibri" w:hAnsi="Calibri"/>
          <w:b/>
          <w:bCs/>
          <w:color w:val="2E75B6"/>
          <w:sz w:val="30"/>
          <w:szCs w:val="30"/>
        </w:rPr>
        <w:t xml:space="preserve">12.1 Attendance Capture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Method</w:t>
            </w:r>
          </w:p>
        </w:tc>
        <w:tc>
          <w:tcPr>
            <w:tcW w:type="dxa" w:w="686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Biometric Integration</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Fingerprint / face recognition device integration for lecture-level attendance auto-capture</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Mobile App (Faculty)</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Faculty marks attendance on mobile app per subject; class-wise roster view with one-tap marking</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QR Code Attendance</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Faculty displays QR code; students scan via app to mark presence; anti-proxy validation by GPS</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RFID Card</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RFID card tap at class entry; integration with biometric devices at entry points</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Manual Entry</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Manual attendance entry with date and subject; bulk override by authorized roles</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OD / Duty Leave</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On-duty marking for students at events, exams, or official duties; excluded from absenteeism count</w:t>
            </w:r>
          </w:p>
        </w:tc>
      </w:tr>
    </w:tbl>
    <w:p>
      <w:pPr>
        <w:pStyle w:val="Heading2"/>
        <w:spacing w:after="120" w:before="280"/>
      </w:pPr>
      <w:r>
        <w:rPr>
          <w:rFonts w:ascii="Calibri" w:cs="Calibri" w:eastAsia="Calibri" w:hAnsi="Calibri"/>
          <w:b/>
          <w:bCs/>
          <w:color w:val="2E75B6"/>
          <w:sz w:val="30"/>
          <w:szCs w:val="30"/>
        </w:rPr>
        <w:t xml:space="preserve">12.2 Attendance Rules &amp; Alerts</w:t>
      </w:r>
    </w:p>
    <w:p>
      <w:pPr>
        <w:pStyle w:val="ListParagraph"/>
        <w:numPr>
          <w:ilvl w:val="0"/>
          <w:numId w:val="3"/>
        </w:numPr>
        <w:spacing w:after="40" w:before="40"/>
      </w:pPr>
      <w:r>
        <w:rPr>
          <w:rFonts w:ascii="Calibri" w:cs="Calibri" w:eastAsia="Calibri" w:hAnsi="Calibri"/>
          <w:color w:val="1A1A2E"/>
          <w:sz w:val="20"/>
          <w:szCs w:val="20"/>
        </w:rPr>
        <w:t xml:space="preserve">Configurable minimum attendance percentage per subject and overall (default 75%)</w:t>
      </w:r>
    </w:p>
    <w:p>
      <w:pPr>
        <w:pStyle w:val="ListParagraph"/>
        <w:numPr>
          <w:ilvl w:val="0"/>
          <w:numId w:val="3"/>
        </w:numPr>
        <w:spacing w:after="40" w:before="40"/>
      </w:pPr>
      <w:r>
        <w:rPr>
          <w:rFonts w:ascii="Calibri" w:cs="Calibri" w:eastAsia="Calibri" w:hAnsi="Calibri"/>
          <w:color w:val="1A1A2E"/>
          <w:sz w:val="20"/>
          <w:szCs w:val="20"/>
        </w:rPr>
        <w:t xml:space="preserve">Automated SMS and push notification to student and parent when attendance drops below threshold</w:t>
      </w:r>
    </w:p>
    <w:p>
      <w:pPr>
        <w:pStyle w:val="ListParagraph"/>
        <w:numPr>
          <w:ilvl w:val="0"/>
          <w:numId w:val="3"/>
        </w:numPr>
        <w:spacing w:after="40" w:before="40"/>
      </w:pPr>
      <w:r>
        <w:rPr>
          <w:rFonts w:ascii="Calibri" w:cs="Calibri" w:eastAsia="Calibri" w:hAnsi="Calibri"/>
          <w:color w:val="1A1A2E"/>
          <w:sz w:val="20"/>
          <w:szCs w:val="20"/>
        </w:rPr>
        <w:t xml:space="preserve">Weekly attendance summary report emailed to students, parents, and HOD</w:t>
      </w:r>
    </w:p>
    <w:p>
      <w:pPr>
        <w:pStyle w:val="ListParagraph"/>
        <w:numPr>
          <w:ilvl w:val="0"/>
          <w:numId w:val="3"/>
        </w:numPr>
        <w:spacing w:after="40" w:before="40"/>
      </w:pPr>
      <w:r>
        <w:rPr>
          <w:rFonts w:ascii="Calibri" w:cs="Calibri" w:eastAsia="Calibri" w:hAnsi="Calibri"/>
          <w:color w:val="1A1A2E"/>
          <w:sz w:val="20"/>
          <w:szCs w:val="20"/>
        </w:rPr>
        <w:t xml:space="preserve">Attendance shortage warning list generation for HOD and admin</w:t>
      </w:r>
    </w:p>
    <w:p>
      <w:pPr>
        <w:pStyle w:val="ListParagraph"/>
        <w:numPr>
          <w:ilvl w:val="0"/>
          <w:numId w:val="3"/>
        </w:numPr>
        <w:spacing w:after="40" w:before="40"/>
      </w:pPr>
      <w:r>
        <w:rPr>
          <w:rFonts w:ascii="Calibri" w:cs="Calibri" w:eastAsia="Calibri" w:hAnsi="Calibri"/>
          <w:color w:val="1A1A2E"/>
          <w:sz w:val="20"/>
          <w:szCs w:val="20"/>
        </w:rPr>
        <w:t xml:space="preserve">Attendance-based hall ticket eligibility determination for exams</w:t>
      </w:r>
    </w:p>
    <w:p>
      <w:pPr>
        <w:pStyle w:val="ListParagraph"/>
        <w:numPr>
          <w:ilvl w:val="0"/>
          <w:numId w:val="3"/>
        </w:numPr>
        <w:spacing w:after="40" w:before="40"/>
      </w:pPr>
      <w:r>
        <w:rPr>
          <w:rFonts w:ascii="Calibri" w:cs="Calibri" w:eastAsia="Calibri" w:hAnsi="Calibri"/>
          <w:color w:val="1A1A2E"/>
          <w:sz w:val="20"/>
          <w:szCs w:val="20"/>
        </w:rPr>
        <w:t xml:space="preserve">Condonation workflow for genuine shortage cases — HOD → Principal approval</w:t>
      </w:r>
    </w:p>
    <w:p>
      <w:pPr>
        <w:pStyle w:val="Heading2"/>
        <w:spacing w:after="120" w:before="280"/>
      </w:pPr>
      <w:r>
        <w:rPr>
          <w:rFonts w:ascii="Calibri" w:cs="Calibri" w:eastAsia="Calibri" w:hAnsi="Calibri"/>
          <w:b/>
          <w:bCs/>
          <w:color w:val="2E75B6"/>
          <w:sz w:val="30"/>
          <w:szCs w:val="30"/>
        </w:rPr>
        <w:t xml:space="preserve">12.3 Attendance Reports</w:t>
      </w:r>
    </w:p>
    <w:p>
      <w:pPr>
        <w:spacing w:after="80" w:before="60"/>
      </w:pPr>
      <w:r>
        <w:rPr>
          <w:rFonts w:ascii="Calibri" w:cs="Calibri" w:eastAsia="Calibri" w:hAnsi="Calibri"/>
          <w:color w:val="1A1A2E"/>
          <w:sz w:val="20"/>
          <w:szCs w:val="20"/>
        </w:rPr>
        <w:t xml:space="preserve">Subject-wise and overall attendance reports at individual, batch, department, and institution levels. Date-range filters, export to PDF/Excel, and attendance trend charts.</w:t>
      </w:r>
    </w:p>
    <w:p>
      <w:r>
        <w:br w:type="page"/>
      </w:r>
    </w:p>
    <w:p>
      <w:pPr>
        <w:pStyle w:val="Heading1"/>
        <w:pBdr>
          <w:bottom w:val="single" w:color="2E75B6" w:sz="6" w:space="4"/>
        </w:pBdr>
        <w:spacing w:after="200" w:before="400"/>
      </w:pPr>
      <w:r>
        <w:rPr>
          <w:rFonts w:ascii="Calibri" w:cs="Calibri" w:eastAsia="Calibri" w:hAnsi="Calibri"/>
          <w:b/>
          <w:bCs/>
          <w:color w:val="1B3A6B"/>
          <w:sz w:val="40"/>
          <w:szCs w:val="40"/>
        </w:rPr>
        <w:t xml:space="preserve">13. Examination &amp; Results Management</w:t>
      </w:r>
    </w:p>
    <w:p>
      <w:pPr>
        <w:pStyle w:val="Heading2"/>
        <w:spacing w:after="120" w:before="280"/>
      </w:pPr>
      <w:r>
        <w:rPr>
          <w:rFonts w:ascii="Calibri" w:cs="Calibri" w:eastAsia="Calibri" w:hAnsi="Calibri"/>
          <w:b/>
          <w:bCs/>
          <w:color w:val="2E75B6"/>
          <w:sz w:val="30"/>
          <w:szCs w:val="30"/>
        </w:rPr>
        <w:t xml:space="preserve">13.1 Exam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Feature</w:t>
            </w:r>
          </w:p>
        </w:tc>
        <w:tc>
          <w:tcPr>
            <w:tcW w:type="dxa" w:w="686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Exam Timetable</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Configure internal and external exam schedules; subject, date, time, venue, and invigilator assignment</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Hall Ticket Generation</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Automated hall ticket generation with student details, exam schedule, photo; eligibility check integration</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Seating Arrangement</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Randomized seating arrangement generation; room-wise seating plan printing</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Invigilation Duty</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Faculty invigilation duty assignment; duty slip generation; absentee substitute management</w:t>
            </w:r>
          </w:p>
        </w:tc>
      </w:tr>
    </w:tbl>
    <w:p>
      <w:pPr>
        <w:pStyle w:val="Heading2"/>
        <w:spacing w:after="120" w:before="280"/>
      </w:pPr>
      <w:r>
        <w:rPr>
          <w:rFonts w:ascii="Calibri" w:cs="Calibri" w:eastAsia="Calibri" w:hAnsi="Calibri"/>
          <w:b/>
          <w:bCs/>
          <w:color w:val="2E75B6"/>
          <w:sz w:val="30"/>
          <w:szCs w:val="30"/>
        </w:rPr>
        <w:t xml:space="preserve">13.2 Mark Entry &amp; 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Feature</w:t>
            </w:r>
          </w:p>
        </w:tc>
        <w:tc>
          <w:tcPr>
            <w:tcW w:type="dxa" w:w="686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Mark Entry</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Online mark entry by faculty per subject; configurable mark range validation; draft and publish states</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Double Valuation</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Support for double valuation workflow; discrepancy alerting; average or higher mark selection</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Revaluation Request</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Student revaluation/rechecking application via portal; fee payment integration; result update workflow</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Grace Marks</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Configurable grace mark rules per regulation; controlled application with audit trail</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Internal + External</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Combine internal and external marks per configured weightage; total mark calculation</w:t>
            </w:r>
          </w:p>
        </w:tc>
      </w:tr>
    </w:tbl>
    <w:p>
      <w:pPr>
        <w:pStyle w:val="Heading2"/>
        <w:spacing w:after="120" w:before="280"/>
      </w:pPr>
      <w:r>
        <w:rPr>
          <w:rFonts w:ascii="Calibri" w:cs="Calibri" w:eastAsia="Calibri" w:hAnsi="Calibri"/>
          <w:b/>
          <w:bCs/>
          <w:color w:val="2E75B6"/>
          <w:sz w:val="30"/>
          <w:szCs w:val="30"/>
        </w:rPr>
        <w:t xml:space="preserve">13.3 Results &amp; Grading</w:t>
      </w:r>
    </w:p>
    <w:p>
      <w:pPr>
        <w:pStyle w:val="ListParagraph"/>
        <w:numPr>
          <w:ilvl w:val="0"/>
          <w:numId w:val="3"/>
        </w:numPr>
        <w:spacing w:after="40" w:before="40"/>
      </w:pPr>
      <w:r>
        <w:rPr>
          <w:rFonts w:ascii="Calibri" w:cs="Calibri" w:eastAsia="Calibri" w:hAnsi="Calibri"/>
          <w:color w:val="1A1A2E"/>
          <w:sz w:val="20"/>
          <w:szCs w:val="20"/>
        </w:rPr>
        <w:t xml:space="preserve">Configurable grading system (Absolute / Relative / CGPA / Percentage based)</w:t>
      </w:r>
    </w:p>
    <w:p>
      <w:pPr>
        <w:pStyle w:val="ListParagraph"/>
        <w:numPr>
          <w:ilvl w:val="0"/>
          <w:numId w:val="3"/>
        </w:numPr>
        <w:spacing w:after="40" w:before="40"/>
      </w:pPr>
      <w:r>
        <w:rPr>
          <w:rFonts w:ascii="Calibri" w:cs="Calibri" w:eastAsia="Calibri" w:hAnsi="Calibri"/>
          <w:color w:val="1A1A2E"/>
          <w:sz w:val="20"/>
          <w:szCs w:val="20"/>
        </w:rPr>
        <w:t xml:space="preserve">Automatic SGPA and CGPA computation per regulation</w:t>
      </w:r>
    </w:p>
    <w:p>
      <w:pPr>
        <w:pStyle w:val="ListParagraph"/>
        <w:numPr>
          <w:ilvl w:val="0"/>
          <w:numId w:val="3"/>
        </w:numPr>
        <w:spacing w:after="40" w:before="40"/>
      </w:pPr>
      <w:r>
        <w:rPr>
          <w:rFonts w:ascii="Calibri" w:cs="Calibri" w:eastAsia="Calibri" w:hAnsi="Calibri"/>
          <w:color w:val="1A1A2E"/>
          <w:sz w:val="20"/>
          <w:szCs w:val="20"/>
        </w:rPr>
        <w:t xml:space="preserve">Pass/Fail determination based on minimum mark rules per subject</w:t>
      </w:r>
    </w:p>
    <w:p>
      <w:pPr>
        <w:pStyle w:val="ListParagraph"/>
        <w:numPr>
          <w:ilvl w:val="0"/>
          <w:numId w:val="3"/>
        </w:numPr>
        <w:spacing w:after="40" w:before="40"/>
      </w:pPr>
      <w:r>
        <w:rPr>
          <w:rFonts w:ascii="Calibri" w:cs="Calibri" w:eastAsia="Calibri" w:hAnsi="Calibri"/>
          <w:color w:val="1A1A2E"/>
          <w:sz w:val="20"/>
          <w:szCs w:val="20"/>
        </w:rPr>
        <w:t xml:space="preserve">Arrear subject tracking across semesters</w:t>
      </w:r>
    </w:p>
    <w:p>
      <w:pPr>
        <w:pStyle w:val="ListParagraph"/>
        <w:numPr>
          <w:ilvl w:val="0"/>
          <w:numId w:val="3"/>
        </w:numPr>
        <w:spacing w:after="40" w:before="40"/>
      </w:pPr>
      <w:r>
        <w:rPr>
          <w:rFonts w:ascii="Calibri" w:cs="Calibri" w:eastAsia="Calibri" w:hAnsi="Calibri"/>
          <w:color w:val="1A1A2E"/>
          <w:sz w:val="20"/>
          <w:szCs w:val="20"/>
        </w:rPr>
        <w:t xml:space="preserve">Result publication with configurable visibility date</w:t>
      </w:r>
    </w:p>
    <w:p>
      <w:pPr>
        <w:pStyle w:val="ListParagraph"/>
        <w:numPr>
          <w:ilvl w:val="0"/>
          <w:numId w:val="3"/>
        </w:numPr>
        <w:spacing w:after="40" w:before="40"/>
      </w:pPr>
      <w:r>
        <w:rPr>
          <w:rFonts w:ascii="Calibri" w:cs="Calibri" w:eastAsia="Calibri" w:hAnsi="Calibri"/>
          <w:color w:val="1A1A2E"/>
          <w:sz w:val="20"/>
          <w:szCs w:val="20"/>
        </w:rPr>
        <w:t xml:space="preserve">Digital mark sheet and provisional certificate generation</w:t>
      </w:r>
    </w:p>
    <w:p>
      <w:pPr>
        <w:pStyle w:val="ListParagraph"/>
        <w:numPr>
          <w:ilvl w:val="0"/>
          <w:numId w:val="3"/>
        </w:numPr>
        <w:spacing w:after="40" w:before="40"/>
      </w:pPr>
      <w:r>
        <w:rPr>
          <w:rFonts w:ascii="Calibri" w:cs="Calibri" w:eastAsia="Calibri" w:hAnsi="Calibri"/>
          <w:color w:val="1A1A2E"/>
          <w:sz w:val="20"/>
          <w:szCs w:val="20"/>
        </w:rPr>
        <w:t xml:space="preserve">Transcript generation with institutional seal</w:t>
      </w:r>
    </w:p>
    <w:p>
      <w:pPr>
        <w:pStyle w:val="ListParagraph"/>
        <w:numPr>
          <w:ilvl w:val="0"/>
          <w:numId w:val="3"/>
        </w:numPr>
        <w:spacing w:after="40" w:before="40"/>
      </w:pPr>
      <w:r>
        <w:rPr>
          <w:rFonts w:ascii="Calibri" w:cs="Calibri" w:eastAsia="Calibri" w:hAnsi="Calibri"/>
          <w:color w:val="1A1A2E"/>
          <w:sz w:val="20"/>
          <w:szCs w:val="20"/>
        </w:rPr>
        <w:t xml:space="preserve">University result data export in prescribed format</w:t>
      </w:r>
    </w:p>
    <w:p>
      <w:pPr>
        <w:pStyle w:val="Heading2"/>
        <w:spacing w:after="120" w:before="280"/>
      </w:pPr>
      <w:r>
        <w:rPr>
          <w:rFonts w:ascii="Calibri" w:cs="Calibri" w:eastAsia="Calibri" w:hAnsi="Calibri"/>
          <w:b/>
          <w:bCs/>
          <w:color w:val="2E75B6"/>
          <w:sz w:val="30"/>
          <w:szCs w:val="30"/>
        </w:rPr>
        <w:t xml:space="preserve">13.4 Certificate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Certificate Type</w:t>
            </w:r>
          </w:p>
        </w:tc>
        <w:tc>
          <w:tcPr>
            <w:tcW w:type="dxa" w:w="686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Bonafide Certificate</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Self-service request; auto-generation; admin approval; download via portal</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Transfer Certificate</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TC application with clearance check (fees, library, hostel); Principal digitally signed TC generation</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Migration Certificate</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Migration certificate application and processing workflow</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Course Completion</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Course completion certificate generation for short-term courses</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Conduct Certificate</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Faculty/admin issued conduct certificate</w:t>
            </w:r>
          </w:p>
        </w:tc>
      </w:tr>
    </w:tbl>
    <w:p>
      <w:r>
        <w:br w:type="page"/>
      </w:r>
    </w:p>
    <w:p>
      <w:pPr>
        <w:pStyle w:val="Heading1"/>
        <w:pBdr>
          <w:bottom w:val="single" w:color="2E75B6" w:sz="6" w:space="4"/>
        </w:pBdr>
        <w:spacing w:after="200" w:before="400"/>
      </w:pPr>
      <w:r>
        <w:rPr>
          <w:rFonts w:ascii="Calibri" w:cs="Calibri" w:eastAsia="Calibri" w:hAnsi="Calibri"/>
          <w:b/>
          <w:bCs/>
          <w:color w:val="1B3A6B"/>
          <w:sz w:val="40"/>
          <w:szCs w:val="40"/>
        </w:rPr>
        <w:t xml:space="preserve">14. Cultural &amp; Events Management</w:t>
      </w:r>
    </w:p>
    <w:p>
      <w:pPr>
        <w:pStyle w:val="Heading2"/>
        <w:spacing w:after="120" w:before="280"/>
      </w:pPr>
      <w:r>
        <w:rPr>
          <w:rFonts w:ascii="Calibri" w:cs="Calibri" w:eastAsia="Calibri" w:hAnsi="Calibri"/>
          <w:b/>
          <w:bCs/>
          <w:color w:val="2E75B6"/>
          <w:sz w:val="30"/>
          <w:szCs w:val="30"/>
        </w:rPr>
        <w:t xml:space="preserve">14.1 Event Planning &amp;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Feature</w:t>
            </w:r>
          </w:p>
        </w:tc>
        <w:tc>
          <w:tcPr>
            <w:tcW w:type="dxa" w:w="686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Event Creation</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Create cultural, academic, sports, and technical events with date, venue, organizer, and description</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Participant Registration</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Student registration for events via portal; category and team-based registration; max participant limits</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Event Coordinator Assignment</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Assign faculty event coordinators; budget allocation and approval workflow</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Venue &amp; Resource Booking</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Auditorium, ground, lab, and seminar hall booking; resource (PA system, projector) request management</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Budget Management</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Event budget request → HOD → Principal approval; expense tracking; post-event reconciliation</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Schedule &amp; Agenda</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Event schedule, agenda, and judging panel configuration; day-wise program planning</w:t>
            </w:r>
          </w:p>
        </w:tc>
      </w:tr>
    </w:tbl>
    <w:p>
      <w:pPr>
        <w:pStyle w:val="Heading2"/>
        <w:spacing w:after="120" w:before="280"/>
      </w:pPr>
      <w:r>
        <w:rPr>
          <w:rFonts w:ascii="Calibri" w:cs="Calibri" w:eastAsia="Calibri" w:hAnsi="Calibri"/>
          <w:b/>
          <w:bCs/>
          <w:color w:val="2E75B6"/>
          <w:sz w:val="30"/>
          <w:szCs w:val="30"/>
        </w:rPr>
        <w:t xml:space="preserve">14.2 Student Participation &amp; Achievements</w:t>
      </w:r>
    </w:p>
    <w:p>
      <w:pPr>
        <w:pStyle w:val="ListParagraph"/>
        <w:numPr>
          <w:ilvl w:val="0"/>
          <w:numId w:val="3"/>
        </w:numPr>
        <w:spacing w:after="40" w:before="40"/>
      </w:pPr>
      <w:r>
        <w:rPr>
          <w:rFonts w:ascii="Calibri" w:cs="Calibri" w:eastAsia="Calibri" w:hAnsi="Calibri"/>
          <w:color w:val="1A1A2E"/>
          <w:sz w:val="20"/>
          <w:szCs w:val="20"/>
        </w:rPr>
        <w:t xml:space="preserve">Student participation records linked to student profile</w:t>
      </w:r>
    </w:p>
    <w:p>
      <w:pPr>
        <w:pStyle w:val="ListParagraph"/>
        <w:numPr>
          <w:ilvl w:val="0"/>
          <w:numId w:val="3"/>
        </w:numPr>
        <w:spacing w:after="40" w:before="40"/>
      </w:pPr>
      <w:r>
        <w:rPr>
          <w:rFonts w:ascii="Calibri" w:cs="Calibri" w:eastAsia="Calibri" w:hAnsi="Calibri"/>
          <w:color w:val="1A1A2E"/>
          <w:sz w:val="20"/>
          <w:szCs w:val="20"/>
        </w:rPr>
        <w:t xml:space="preserve">Prize and achievement recording (1st, 2nd, 3rd, special awards)</w:t>
      </w:r>
    </w:p>
    <w:p>
      <w:pPr>
        <w:pStyle w:val="ListParagraph"/>
        <w:numPr>
          <w:ilvl w:val="0"/>
          <w:numId w:val="3"/>
        </w:numPr>
        <w:spacing w:after="40" w:before="40"/>
      </w:pPr>
      <w:r>
        <w:rPr>
          <w:rFonts w:ascii="Calibri" w:cs="Calibri" w:eastAsia="Calibri" w:hAnsi="Calibri"/>
          <w:color w:val="1A1A2E"/>
          <w:sz w:val="20"/>
          <w:szCs w:val="20"/>
        </w:rPr>
        <w:t xml:space="preserve">Inter-college and national competition participation logging</w:t>
      </w:r>
    </w:p>
    <w:p>
      <w:pPr>
        <w:pStyle w:val="ListParagraph"/>
        <w:numPr>
          <w:ilvl w:val="0"/>
          <w:numId w:val="3"/>
        </w:numPr>
        <w:spacing w:after="40" w:before="40"/>
      </w:pPr>
      <w:r>
        <w:rPr>
          <w:rFonts w:ascii="Calibri" w:cs="Calibri" w:eastAsia="Calibri" w:hAnsi="Calibri"/>
          <w:color w:val="1A1A2E"/>
          <w:sz w:val="20"/>
          <w:szCs w:val="20"/>
        </w:rPr>
        <w:t xml:space="preserve">Sports meet and athletic event result recording</w:t>
      </w:r>
    </w:p>
    <w:p>
      <w:pPr>
        <w:pStyle w:val="ListParagraph"/>
        <w:numPr>
          <w:ilvl w:val="0"/>
          <w:numId w:val="3"/>
        </w:numPr>
        <w:spacing w:after="40" w:before="40"/>
      </w:pPr>
      <w:r>
        <w:rPr>
          <w:rFonts w:ascii="Calibri" w:cs="Calibri" w:eastAsia="Calibri" w:hAnsi="Calibri"/>
          <w:color w:val="1A1A2E"/>
          <w:sz w:val="20"/>
          <w:szCs w:val="20"/>
        </w:rPr>
        <w:t xml:space="preserve">Cultural points system for co-curricular activity tracking</w:t>
      </w:r>
    </w:p>
    <w:p>
      <w:pPr>
        <w:pStyle w:val="ListParagraph"/>
        <w:numPr>
          <w:ilvl w:val="0"/>
          <w:numId w:val="3"/>
        </w:numPr>
        <w:spacing w:after="40" w:before="40"/>
      </w:pPr>
      <w:r>
        <w:rPr>
          <w:rFonts w:ascii="Calibri" w:cs="Calibri" w:eastAsia="Calibri" w:hAnsi="Calibri"/>
          <w:color w:val="1A1A2E"/>
          <w:sz w:val="20"/>
          <w:szCs w:val="20"/>
        </w:rPr>
        <w:t xml:space="preserve">Achievement certificates generated via portal</w:t>
      </w:r>
    </w:p>
    <w:p>
      <w:pPr>
        <w:pStyle w:val="ListParagraph"/>
        <w:numPr>
          <w:ilvl w:val="0"/>
          <w:numId w:val="3"/>
        </w:numPr>
        <w:spacing w:after="40" w:before="40"/>
      </w:pPr>
      <w:r>
        <w:rPr>
          <w:rFonts w:ascii="Calibri" w:cs="Calibri" w:eastAsia="Calibri" w:hAnsi="Calibri"/>
          <w:color w:val="1A1A2E"/>
          <w:sz w:val="20"/>
          <w:szCs w:val="20"/>
        </w:rPr>
        <w:t xml:space="preserve">Participation report for student profile and placement records</w:t>
      </w:r>
    </w:p>
    <w:p>
      <w:pPr>
        <w:pStyle w:val="Heading2"/>
        <w:spacing w:after="120" w:before="280"/>
      </w:pPr>
      <w:r>
        <w:rPr>
          <w:rFonts w:ascii="Calibri" w:cs="Calibri" w:eastAsia="Calibri" w:hAnsi="Calibri"/>
          <w:b/>
          <w:bCs/>
          <w:color w:val="2E75B6"/>
          <w:sz w:val="30"/>
          <w:szCs w:val="30"/>
        </w:rPr>
        <w:t xml:space="preserve">14.3 Guest Lecture &amp; Workshop Management</w:t>
      </w:r>
    </w:p>
    <w:p>
      <w:pPr>
        <w:spacing w:after="80" w:before="60"/>
      </w:pPr>
      <w:r>
        <w:rPr>
          <w:rFonts w:ascii="Calibri" w:cs="Calibri" w:eastAsia="Calibri" w:hAnsi="Calibri"/>
          <w:color w:val="1A1A2E"/>
          <w:sz w:val="20"/>
          <w:szCs w:val="20"/>
        </w:rPr>
        <w:t xml:space="preserve">Guest lecture and workshop scheduling with speaker profile, topic, department, and date. Student attendance tracking for guest lectures. Feedback collection and report generation. Integration with academic calendar.</w:t>
      </w:r>
    </w:p>
    <w:p>
      <w:r>
        <w:br w:type="page"/>
      </w:r>
    </w:p>
    <w:p>
      <w:pPr>
        <w:pStyle w:val="Heading1"/>
        <w:pBdr>
          <w:bottom w:val="single" w:color="2E75B6" w:sz="6" w:space="4"/>
        </w:pBdr>
        <w:spacing w:after="200" w:before="400"/>
      </w:pPr>
      <w:r>
        <w:rPr>
          <w:rFonts w:ascii="Calibri" w:cs="Calibri" w:eastAsia="Calibri" w:hAnsi="Calibri"/>
          <w:b/>
          <w:bCs/>
          <w:color w:val="1B3A6B"/>
          <w:sz w:val="40"/>
          <w:szCs w:val="40"/>
        </w:rPr>
        <w:t xml:space="preserve">15. Communication &amp; Notifications</w:t>
      </w:r>
    </w:p>
    <w:p>
      <w:pPr>
        <w:pStyle w:val="Heading2"/>
        <w:spacing w:after="120" w:before="280"/>
      </w:pPr>
      <w:r>
        <w:rPr>
          <w:rFonts w:ascii="Calibri" w:cs="Calibri" w:eastAsia="Calibri" w:hAnsi="Calibri"/>
          <w:b/>
          <w:bCs/>
          <w:color w:val="2E75B6"/>
          <w:sz w:val="30"/>
          <w:szCs w:val="30"/>
        </w:rPr>
        <w:t xml:space="preserve">15.1 Notification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Channel</w:t>
            </w:r>
          </w:p>
        </w:tc>
        <w:tc>
          <w:tcPr>
            <w:tcW w:type="dxa" w:w="686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Push Notifications</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Mobile push via FCM (Android &amp; iOS) for all personas; segmented by role, department, batch, section</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SMS Notifications</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SMS gateway integration (Twilio / MSG91); critical alerts — attendance, fee due, exam, emergency</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Email Notifications</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Transactional and bulk email via SendGrid / SES; HTML email templates; attachment support</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In-App Inbox</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Persistent in-app notification inbox; read/unread status; notification history</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WhatsApp Integration</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Optional WhatsApp Business API for parent notifications</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Automated Triggers</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Configurable event-driven triggers — attendance below threshold, fee due, result published, etc.</w:t>
            </w:r>
          </w:p>
        </w:tc>
      </w:tr>
    </w:tbl>
    <w:p>
      <w:pPr>
        <w:pStyle w:val="Heading2"/>
        <w:spacing w:after="120" w:before="280"/>
      </w:pPr>
      <w:r>
        <w:rPr>
          <w:rFonts w:ascii="Calibri" w:cs="Calibri" w:eastAsia="Calibri" w:hAnsi="Calibri"/>
          <w:b/>
          <w:bCs/>
          <w:color w:val="2E75B6"/>
          <w:sz w:val="30"/>
          <w:szCs w:val="30"/>
        </w:rPr>
        <w:t xml:space="preserve">15.2 Announcement &amp; Circular Management</w:t>
      </w:r>
    </w:p>
    <w:p>
      <w:pPr>
        <w:pStyle w:val="ListParagraph"/>
        <w:numPr>
          <w:ilvl w:val="0"/>
          <w:numId w:val="3"/>
        </w:numPr>
        <w:spacing w:after="40" w:before="40"/>
      </w:pPr>
      <w:r>
        <w:rPr>
          <w:rFonts w:ascii="Calibri" w:cs="Calibri" w:eastAsia="Calibri" w:hAnsi="Calibri"/>
          <w:color w:val="1A1A2E"/>
          <w:sz w:val="20"/>
          <w:szCs w:val="20"/>
        </w:rPr>
        <w:t xml:space="preserve">Institution-wide announcements with priority levels (General / Important / Urgent)</w:t>
      </w:r>
    </w:p>
    <w:p>
      <w:pPr>
        <w:pStyle w:val="ListParagraph"/>
        <w:numPr>
          <w:ilvl w:val="0"/>
          <w:numId w:val="3"/>
        </w:numPr>
        <w:spacing w:after="40" w:before="40"/>
      </w:pPr>
      <w:r>
        <w:rPr>
          <w:rFonts w:ascii="Calibri" w:cs="Calibri" w:eastAsia="Calibri" w:hAnsi="Calibri"/>
          <w:color w:val="1A1A2E"/>
          <w:sz w:val="20"/>
          <w:szCs w:val="20"/>
        </w:rPr>
        <w:t xml:space="preserve">Targeted announcements by department, batch, section, or persona</w:t>
      </w:r>
    </w:p>
    <w:p>
      <w:pPr>
        <w:pStyle w:val="ListParagraph"/>
        <w:numPr>
          <w:ilvl w:val="0"/>
          <w:numId w:val="3"/>
        </w:numPr>
        <w:spacing w:after="40" w:before="40"/>
      </w:pPr>
      <w:r>
        <w:rPr>
          <w:rFonts w:ascii="Calibri" w:cs="Calibri" w:eastAsia="Calibri" w:hAnsi="Calibri"/>
          <w:color w:val="1A1A2E"/>
          <w:sz w:val="20"/>
          <w:szCs w:val="20"/>
        </w:rPr>
        <w:t xml:space="preserve">Circular upload (PDF) and digital distribution</w:t>
      </w:r>
    </w:p>
    <w:p>
      <w:pPr>
        <w:pStyle w:val="ListParagraph"/>
        <w:numPr>
          <w:ilvl w:val="0"/>
          <w:numId w:val="3"/>
        </w:numPr>
        <w:spacing w:after="40" w:before="40"/>
      </w:pPr>
      <w:r>
        <w:rPr>
          <w:rFonts w:ascii="Calibri" w:cs="Calibri" w:eastAsia="Calibri" w:hAnsi="Calibri"/>
          <w:color w:val="1A1A2E"/>
          <w:sz w:val="20"/>
          <w:szCs w:val="20"/>
        </w:rPr>
        <w:t xml:space="preserve">Notice board module — pinned and expiring notices</w:t>
      </w:r>
    </w:p>
    <w:p>
      <w:pPr>
        <w:pStyle w:val="ListParagraph"/>
        <w:numPr>
          <w:ilvl w:val="0"/>
          <w:numId w:val="3"/>
        </w:numPr>
        <w:spacing w:after="40" w:before="40"/>
      </w:pPr>
      <w:r>
        <w:rPr>
          <w:rFonts w:ascii="Calibri" w:cs="Calibri" w:eastAsia="Calibri" w:hAnsi="Calibri"/>
          <w:color w:val="1A1A2E"/>
          <w:sz w:val="20"/>
          <w:szCs w:val="20"/>
        </w:rPr>
        <w:t xml:space="preserve">Academic and holiday calendar broadcasting</w:t>
      </w:r>
    </w:p>
    <w:p>
      <w:pPr>
        <w:pStyle w:val="ListParagraph"/>
        <w:numPr>
          <w:ilvl w:val="0"/>
          <w:numId w:val="3"/>
        </w:numPr>
        <w:spacing w:after="40" w:before="40"/>
      </w:pPr>
      <w:r>
        <w:rPr>
          <w:rFonts w:ascii="Calibri" w:cs="Calibri" w:eastAsia="Calibri" w:hAnsi="Calibri"/>
          <w:color w:val="1A1A2E"/>
          <w:sz w:val="20"/>
          <w:szCs w:val="20"/>
        </w:rPr>
        <w:t xml:space="preserve">Read receipt tracking for critical circulars</w:t>
      </w:r>
    </w:p>
    <w:p>
      <w:pPr>
        <w:pStyle w:val="Heading2"/>
        <w:spacing w:after="120" w:before="280"/>
      </w:pPr>
      <w:r>
        <w:rPr>
          <w:rFonts w:ascii="Calibri" w:cs="Calibri" w:eastAsia="Calibri" w:hAnsi="Calibri"/>
          <w:b/>
          <w:bCs/>
          <w:color w:val="2E75B6"/>
          <w:sz w:val="30"/>
          <w:szCs w:val="30"/>
        </w:rPr>
        <w:t xml:space="preserve">15.3 Internal Messaging</w:t>
      </w:r>
    </w:p>
    <w:p>
      <w:pPr>
        <w:spacing w:after="80" w:before="60"/>
      </w:pPr>
      <w:r>
        <w:rPr>
          <w:rFonts w:ascii="Calibri" w:cs="Calibri" w:eastAsia="Calibri" w:hAnsi="Calibri"/>
          <w:color w:val="1A1A2E"/>
          <w:sz w:val="20"/>
          <w:szCs w:val="20"/>
        </w:rPr>
        <w:t xml:space="preserve">Secure internal messaging between authorized personas. Faculty to student messaging. Parent to faculty communication channel. HOD to faculty broadcasting. Message threading and history. Attachments support. Moderation controls for admin.</w:t>
      </w:r>
    </w:p>
    <w:p>
      <w:pPr>
        <w:pStyle w:val="Heading2"/>
        <w:spacing w:after="120" w:before="280"/>
      </w:pPr>
      <w:r>
        <w:rPr>
          <w:rFonts w:ascii="Calibri" w:cs="Calibri" w:eastAsia="Calibri" w:hAnsi="Calibri"/>
          <w:b/>
          <w:bCs/>
          <w:color w:val="2E75B6"/>
          <w:sz w:val="30"/>
          <w:szCs w:val="30"/>
        </w:rPr>
        <w:t xml:space="preserve">15.4 Grievance &amp;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Feature</w:t>
            </w:r>
          </w:p>
        </w:tc>
        <w:tc>
          <w:tcPr>
            <w:tcW w:type="dxa" w:w="686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Student Grievance</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Online grievance submission; category selection; anonymous option; status tracking</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Complaint Workflow</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Grievance → Department Level → Principal Level → Redressal Committee escalation path</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Feedback Collection</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Faculty feedback from students per semester; course feedback; event feedback; hostel feedback</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Anti-Ragging Module</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Anonymous anti-ragging complaint submission; automatic escalation to committee; SLA monitoring</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Suggestion Box</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Digital suggestion box for students and staff; admin review and response</w:t>
            </w:r>
          </w:p>
        </w:tc>
      </w:tr>
    </w:tbl>
    <w:p>
      <w:r>
        <w:br w:type="page"/>
      </w:r>
    </w:p>
    <w:p>
      <w:pPr>
        <w:pStyle w:val="Heading1"/>
        <w:pBdr>
          <w:bottom w:val="single" w:color="2E75B6" w:sz="6" w:space="4"/>
        </w:pBdr>
        <w:spacing w:after="200" w:before="400"/>
      </w:pPr>
      <w:r>
        <w:rPr>
          <w:rFonts w:ascii="Calibri" w:cs="Calibri" w:eastAsia="Calibri" w:hAnsi="Calibri"/>
          <w:b/>
          <w:bCs/>
          <w:color w:val="1B3A6B"/>
          <w:sz w:val="40"/>
          <w:szCs w:val="40"/>
        </w:rPr>
        <w:t xml:space="preserve">16. Payment Gateway Integration</w:t>
      </w:r>
    </w:p>
    <w:p>
      <w:pPr>
        <w:pStyle w:val="Heading2"/>
        <w:spacing w:after="120" w:before="280"/>
      </w:pPr>
      <w:r>
        <w:rPr>
          <w:rFonts w:ascii="Calibri" w:cs="Calibri" w:eastAsia="Calibri" w:hAnsi="Calibri"/>
          <w:b/>
          <w:bCs/>
          <w:color w:val="2E75B6"/>
          <w:sz w:val="30"/>
          <w:szCs w:val="30"/>
        </w:rPr>
        <w:t xml:space="preserve">16.1 Supported Payment Gateways</w:t>
      </w:r>
    </w:p>
    <w:p>
      <w:pPr>
        <w:spacing w:after="80" w:before="60"/>
      </w:pPr>
      <w:r>
        <w:rPr>
          <w:rFonts w:ascii="Calibri" w:cs="Calibri" w:eastAsia="Calibri" w:hAnsi="Calibri"/>
          <w:color w:val="1A1A2E"/>
          <w:sz w:val="20"/>
          <w:szCs w:val="20"/>
        </w:rPr>
        <w:t xml:space="preserve">The CMS supports integration with multiple payment gateways. The institution may configure the primary gateway during setup. Fallback gateway support ensures continuity during downtime.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80"/>
        <w:gridCol w:w="2580"/>
      </w:tblGrid>
      <w:tr>
        <w:tc>
          <w:tcPr>
            <w:tcW w:type="dxa" w:w="20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Gateway</w:t>
            </w:r>
          </w:p>
        </w:tc>
        <w:tc>
          <w:tcPr>
            <w:tcW w:type="dxa" w:w="22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Region</w:t>
            </w:r>
          </w:p>
        </w:tc>
        <w:tc>
          <w:tcPr>
            <w:tcW w:type="dxa" w:w="258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Payment Modes</w:t>
            </w:r>
          </w:p>
        </w:tc>
        <w:tc>
          <w:tcPr>
            <w:tcW w:type="dxa" w:w="258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Key Features</w:t>
            </w:r>
          </w:p>
        </w:tc>
      </w:tr>
      <w:tr>
        <w:tc>
          <w:tcPr>
            <w:tcW w:type="dxa" w:w="2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Razorpay</w:t>
            </w:r>
          </w:p>
        </w:tc>
        <w:tc>
          <w:tcPr>
            <w:tcW w:type="dxa" w:w="22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India</w:t>
            </w:r>
          </w:p>
        </w:tc>
        <w:tc>
          <w:tcPr>
            <w:tcW w:type="dxa" w:w="258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UPI, Cards, Net Banking, Wallets, EMI, QR</w:t>
            </w:r>
          </w:p>
        </w:tc>
        <w:tc>
          <w:tcPr>
            <w:tcW w:type="dxa" w:w="258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Auto-refund, Dashboard, Webhooks, Recurring</w:t>
            </w:r>
          </w:p>
        </w:tc>
      </w:tr>
      <w:tr>
        <w:tc>
          <w:tcPr>
            <w:tcW w:type="dxa" w:w="20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PayU</w:t>
            </w:r>
          </w:p>
        </w:tc>
        <w:tc>
          <w:tcPr>
            <w:tcW w:type="dxa" w:w="22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India</w:t>
            </w:r>
          </w:p>
        </w:tc>
        <w:tc>
          <w:tcPr>
            <w:tcW w:type="dxa" w:w="258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UPI, Cards, Net Banking, Wallets, EMI</w:t>
            </w:r>
          </w:p>
        </w:tc>
        <w:tc>
          <w:tcPr>
            <w:tcW w:type="dxa" w:w="258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Domestic focus, Low MDR, College-optimized</w:t>
            </w:r>
          </w:p>
        </w:tc>
      </w:tr>
      <w:tr>
        <w:tc>
          <w:tcPr>
            <w:tcW w:type="dxa" w:w="2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CCAvenue</w:t>
            </w:r>
          </w:p>
        </w:tc>
        <w:tc>
          <w:tcPr>
            <w:tcW w:type="dxa" w:w="22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India</w:t>
            </w:r>
          </w:p>
        </w:tc>
        <w:tc>
          <w:tcPr>
            <w:tcW w:type="dxa" w:w="258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All major Indian modes + BNPL</w:t>
            </w:r>
          </w:p>
        </w:tc>
        <w:tc>
          <w:tcPr>
            <w:tcW w:type="dxa" w:w="258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150+ payment options, multi-currency</w:t>
            </w:r>
          </w:p>
        </w:tc>
      </w:tr>
      <w:tr>
        <w:tc>
          <w:tcPr>
            <w:tcW w:type="dxa" w:w="20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Stripe</w:t>
            </w:r>
          </w:p>
        </w:tc>
        <w:tc>
          <w:tcPr>
            <w:tcW w:type="dxa" w:w="22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Global</w:t>
            </w:r>
          </w:p>
        </w:tc>
        <w:tc>
          <w:tcPr>
            <w:tcW w:type="dxa" w:w="258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Cards, ACH, Wallets, SEPA</w:t>
            </w:r>
          </w:p>
        </w:tc>
        <w:tc>
          <w:tcPr>
            <w:tcW w:type="dxa" w:w="258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International students, multi-currency</w:t>
            </w:r>
          </w:p>
        </w:tc>
      </w:tr>
      <w:tr>
        <w:tc>
          <w:tcPr>
            <w:tcW w:type="dxa" w:w="2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PayPal</w:t>
            </w:r>
          </w:p>
        </w:tc>
        <w:tc>
          <w:tcPr>
            <w:tcW w:type="dxa" w:w="22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Global</w:t>
            </w:r>
          </w:p>
        </w:tc>
        <w:tc>
          <w:tcPr>
            <w:tcW w:type="dxa" w:w="258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PayPal balance, Cards</w:t>
            </w:r>
          </w:p>
        </w:tc>
        <w:tc>
          <w:tcPr>
            <w:tcW w:type="dxa" w:w="258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NRI and international admissions</w:t>
            </w:r>
          </w:p>
        </w:tc>
      </w:tr>
      <w:tr>
        <w:tc>
          <w:tcPr>
            <w:tcW w:type="dxa" w:w="20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Easebuzz</w:t>
            </w:r>
          </w:p>
        </w:tc>
        <w:tc>
          <w:tcPr>
            <w:tcW w:type="dxa" w:w="22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India</w:t>
            </w:r>
          </w:p>
        </w:tc>
        <w:tc>
          <w:tcPr>
            <w:tcW w:type="dxa" w:w="258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UPI, Cards, Net Banking</w:t>
            </w:r>
          </w:p>
        </w:tc>
        <w:tc>
          <w:tcPr>
            <w:tcW w:type="dxa" w:w="258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Education-specific, low cost</w:t>
            </w:r>
          </w:p>
        </w:tc>
      </w:tr>
    </w:tbl>
    <w:p>
      <w:pPr>
        <w:pStyle w:val="Heading2"/>
        <w:spacing w:after="120" w:before="280"/>
      </w:pPr>
      <w:r>
        <w:rPr>
          <w:rFonts w:ascii="Calibri" w:cs="Calibri" w:eastAsia="Calibri" w:hAnsi="Calibri"/>
          <w:b/>
          <w:bCs/>
          <w:color w:val="2E75B6"/>
          <w:sz w:val="30"/>
          <w:szCs w:val="30"/>
        </w:rPr>
        <w:t xml:space="preserve">16.2 Payment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Feature</w:t>
            </w:r>
          </w:p>
        </w:tc>
        <w:tc>
          <w:tcPr>
            <w:tcW w:type="dxa" w:w="686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Secure Checkout</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PCI-DSS compliant payment flow; 3D Secure authentication; SSL/TLS encrypted transactions</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Payment Modes</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Credit card, debit card, UPI (BHIM, PhonePe, Google Pay, Paytm), net banking, mobile wallets, EMI, BNPL</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Partial Payments</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Instalment-based partial fee payment with balance due tracking</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Instant Receipts</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Auto-generated PDF receipt on payment success; delivered to student email and portal</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Refund Management</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Admin-initiated refunds; gateway-routed automatic refund; status tracking; refund receipt</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Payment Reconciliation</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Daily automated reconciliation between gateway settlements and CMS records; discrepancy alerts</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Failed Payment Handling</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Retry mechanism; failure reason capture; payment pending status with timeout handling</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Webhook Processing</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Real-time payment status update via gateway webhooks; idempotency checks</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Multi-Currency Support</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INR primary; USD/GBP/AED support for international and NRI students via Stripe/PayPal</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UPI Collect Flow</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VPA-based UPI collect request for counter payment by finance staff</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QR Code Payment</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Institution UPI QR code for walk-in payments; auto-reconciliation</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Payment Audit Log</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Complete payment event log — initiation, processing, success/failure, refund — with timestamps</w:t>
            </w:r>
          </w:p>
        </w:tc>
      </w:tr>
    </w:tbl>
    <w:p>
      <w:pPr>
        <w:pStyle w:val="Heading2"/>
        <w:spacing w:after="120" w:before="280"/>
      </w:pPr>
      <w:r>
        <w:rPr>
          <w:rFonts w:ascii="Calibri" w:cs="Calibri" w:eastAsia="Calibri" w:hAnsi="Calibri"/>
          <w:b/>
          <w:bCs/>
          <w:color w:val="2E75B6"/>
          <w:sz w:val="30"/>
          <w:szCs w:val="30"/>
        </w:rPr>
        <w:t xml:space="preserve">16.3 Payment Security</w:t>
      </w:r>
    </w:p>
    <w:p>
      <w:pPr>
        <w:pStyle w:val="ListParagraph"/>
        <w:numPr>
          <w:ilvl w:val="0"/>
          <w:numId w:val="3"/>
        </w:numPr>
        <w:spacing w:after="40" w:before="40"/>
      </w:pPr>
      <w:r>
        <w:rPr>
          <w:rFonts w:ascii="Calibri" w:cs="Calibri" w:eastAsia="Calibri" w:hAnsi="Calibri"/>
          <w:color w:val="1A1A2E"/>
          <w:sz w:val="20"/>
          <w:szCs w:val="20"/>
        </w:rPr>
        <w:t xml:space="preserve">PCI-DSS Level 1 compliance for all card transactions</w:t>
      </w:r>
    </w:p>
    <w:p>
      <w:pPr>
        <w:pStyle w:val="ListParagraph"/>
        <w:numPr>
          <w:ilvl w:val="0"/>
          <w:numId w:val="3"/>
        </w:numPr>
        <w:spacing w:after="40" w:before="40"/>
      </w:pPr>
      <w:r>
        <w:rPr>
          <w:rFonts w:ascii="Calibri" w:cs="Calibri" w:eastAsia="Calibri" w:hAnsi="Calibri"/>
          <w:color w:val="1A1A2E"/>
          <w:sz w:val="20"/>
          <w:szCs w:val="20"/>
        </w:rPr>
        <w:t xml:space="preserve">No card data stored on CMS servers — all sensitive data handled by gateway tokenization</w:t>
      </w:r>
    </w:p>
    <w:p>
      <w:pPr>
        <w:pStyle w:val="ListParagraph"/>
        <w:numPr>
          <w:ilvl w:val="0"/>
          <w:numId w:val="3"/>
        </w:numPr>
        <w:spacing w:after="40" w:before="40"/>
      </w:pPr>
      <w:r>
        <w:rPr>
          <w:rFonts w:ascii="Calibri" w:cs="Calibri" w:eastAsia="Calibri" w:hAnsi="Calibri"/>
          <w:color w:val="1A1A2E"/>
          <w:sz w:val="20"/>
          <w:szCs w:val="20"/>
        </w:rPr>
        <w:t xml:space="preserve">TLS 1.3 encryption for all payment data in transit</w:t>
      </w:r>
    </w:p>
    <w:p>
      <w:pPr>
        <w:pStyle w:val="ListParagraph"/>
        <w:numPr>
          <w:ilvl w:val="0"/>
          <w:numId w:val="3"/>
        </w:numPr>
        <w:spacing w:after="40" w:before="40"/>
      </w:pPr>
      <w:r>
        <w:rPr>
          <w:rFonts w:ascii="Calibri" w:cs="Calibri" w:eastAsia="Calibri" w:hAnsi="Calibri"/>
          <w:color w:val="1A1A2E"/>
          <w:sz w:val="20"/>
          <w:szCs w:val="20"/>
        </w:rPr>
        <w:t xml:space="preserve">Two-factor authentication for finance admin payment operations</w:t>
      </w:r>
    </w:p>
    <w:p>
      <w:pPr>
        <w:pStyle w:val="ListParagraph"/>
        <w:numPr>
          <w:ilvl w:val="0"/>
          <w:numId w:val="3"/>
        </w:numPr>
        <w:spacing w:after="40" w:before="40"/>
      </w:pPr>
      <w:r>
        <w:rPr>
          <w:rFonts w:ascii="Calibri" w:cs="Calibri" w:eastAsia="Calibri" w:hAnsi="Calibri"/>
          <w:color w:val="1A1A2E"/>
          <w:sz w:val="20"/>
          <w:szCs w:val="20"/>
        </w:rPr>
        <w:t xml:space="preserve">Suspicious transaction alerting — amount thresholds, repeated failures</w:t>
      </w:r>
    </w:p>
    <w:p>
      <w:pPr>
        <w:pStyle w:val="ListParagraph"/>
        <w:numPr>
          <w:ilvl w:val="0"/>
          <w:numId w:val="3"/>
        </w:numPr>
        <w:spacing w:after="40" w:before="40"/>
      </w:pPr>
      <w:r>
        <w:rPr>
          <w:rFonts w:ascii="Calibri" w:cs="Calibri" w:eastAsia="Calibri" w:hAnsi="Calibri"/>
          <w:color w:val="1A1A2E"/>
          <w:sz w:val="20"/>
          <w:szCs w:val="20"/>
        </w:rPr>
        <w:t xml:space="preserve">Complete audit trail for every payment event accessible by Finance Team and Super Admin</w:t>
      </w:r>
    </w:p>
    <w:p>
      <w:r>
        <w:br w:type="page"/>
      </w:r>
    </w:p>
    <w:p>
      <w:pPr>
        <w:pStyle w:val="Heading1"/>
        <w:pBdr>
          <w:bottom w:val="single" w:color="2E75B6" w:sz="6" w:space="4"/>
        </w:pBdr>
        <w:spacing w:after="200" w:before="400"/>
      </w:pPr>
      <w:r>
        <w:rPr>
          <w:rFonts w:ascii="Calibri" w:cs="Calibri" w:eastAsia="Calibri" w:hAnsi="Calibri"/>
          <w:b/>
          <w:bCs/>
          <w:color w:val="1B3A6B"/>
          <w:sz w:val="40"/>
          <w:szCs w:val="40"/>
        </w:rPr>
        <w:t xml:space="preserve">17. Inventory &amp; Asset Management</w:t>
      </w:r>
    </w:p>
    <w:p>
      <w:pPr>
        <w:pStyle w:val="Heading2"/>
        <w:spacing w:after="120" w:before="280"/>
      </w:pPr>
      <w:r>
        <w:rPr>
          <w:rFonts w:ascii="Calibri" w:cs="Calibri" w:eastAsia="Calibri" w:hAnsi="Calibri"/>
          <w:b/>
          <w:bCs/>
          <w:color w:val="2E75B6"/>
          <w:sz w:val="30"/>
          <w:szCs w:val="30"/>
        </w:rPr>
        <w:t xml:space="preserve">17.1 Asset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Feature</w:t>
            </w:r>
          </w:p>
        </w:tc>
        <w:tc>
          <w:tcPr>
            <w:tcW w:type="dxa" w:w="686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Asset Master</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Register all institutional assets — computers, lab equipment, furniture, vehicles, A/V equipment</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Barcode / QR Tagging</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Unique barcode or QR tag for each asset; tag-based tracking and audit</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Asset Assignment</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Assign assets to departments, labs, classrooms, or individuals; custodian tracking</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Maintenance Schedule</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Preventive maintenance scheduling; maintenance history log; vendor management</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Depreciation Tracking</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Configurable depreciation method (SLM/WDV); asset value tracking; disposal recording</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Asset Audit</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Periodic physical verification workflow; discrepancy reporting; disposal approval</w:t>
            </w:r>
          </w:p>
        </w:tc>
      </w:tr>
    </w:tbl>
    <w:p>
      <w:pPr>
        <w:pStyle w:val="Heading2"/>
        <w:spacing w:after="120" w:before="280"/>
      </w:pPr>
      <w:r>
        <w:rPr>
          <w:rFonts w:ascii="Calibri" w:cs="Calibri" w:eastAsia="Calibri" w:hAnsi="Calibri"/>
          <w:b/>
          <w:bCs/>
          <w:color w:val="2E75B6"/>
          <w:sz w:val="30"/>
          <w:szCs w:val="30"/>
        </w:rPr>
        <w:t xml:space="preserve">17.2 Store &amp; Inventory Management</w:t>
      </w:r>
    </w:p>
    <w:p>
      <w:pPr>
        <w:pStyle w:val="ListParagraph"/>
        <w:numPr>
          <w:ilvl w:val="0"/>
          <w:numId w:val="3"/>
        </w:numPr>
        <w:spacing w:after="40" w:before="40"/>
      </w:pPr>
      <w:r>
        <w:rPr>
          <w:rFonts w:ascii="Calibri" w:cs="Calibri" w:eastAsia="Calibri" w:hAnsi="Calibri"/>
          <w:color w:val="1A1A2E"/>
          <w:sz w:val="20"/>
          <w:szCs w:val="20"/>
        </w:rPr>
        <w:t xml:space="preserve">Stock master for stationery, lab consumables, maintenance supplies, housekeeping materials</w:t>
      </w:r>
    </w:p>
    <w:p>
      <w:pPr>
        <w:pStyle w:val="ListParagraph"/>
        <w:numPr>
          <w:ilvl w:val="0"/>
          <w:numId w:val="3"/>
        </w:numPr>
        <w:spacing w:after="40" w:before="40"/>
      </w:pPr>
      <w:r>
        <w:rPr>
          <w:rFonts w:ascii="Calibri" w:cs="Calibri" w:eastAsia="Calibri" w:hAnsi="Calibri"/>
          <w:color w:val="1A1A2E"/>
          <w:sz w:val="20"/>
          <w:szCs w:val="20"/>
        </w:rPr>
        <w:t xml:space="preserve">Purchase order creation, approval workflow, and vendor management</w:t>
      </w:r>
    </w:p>
    <w:p>
      <w:pPr>
        <w:pStyle w:val="ListParagraph"/>
        <w:numPr>
          <w:ilvl w:val="0"/>
          <w:numId w:val="3"/>
        </w:numPr>
        <w:spacing w:after="40" w:before="40"/>
      </w:pPr>
      <w:r>
        <w:rPr>
          <w:rFonts w:ascii="Calibri" w:cs="Calibri" w:eastAsia="Calibri" w:hAnsi="Calibri"/>
          <w:color w:val="1A1A2E"/>
          <w:sz w:val="20"/>
          <w:szCs w:val="20"/>
        </w:rPr>
        <w:t xml:space="preserve">Goods receipt note (GRN) with quantity and quality verification</w:t>
      </w:r>
    </w:p>
    <w:p>
      <w:pPr>
        <w:pStyle w:val="ListParagraph"/>
        <w:numPr>
          <w:ilvl w:val="0"/>
          <w:numId w:val="3"/>
        </w:numPr>
        <w:spacing w:after="40" w:before="40"/>
      </w:pPr>
      <w:r>
        <w:rPr>
          <w:rFonts w:ascii="Calibri" w:cs="Calibri" w:eastAsia="Calibri" w:hAnsi="Calibri"/>
          <w:color w:val="1A1A2E"/>
          <w:sz w:val="20"/>
          <w:szCs w:val="20"/>
        </w:rPr>
        <w:t xml:space="preserve">Stock issue to departments with requisition approval workflow</w:t>
      </w:r>
    </w:p>
    <w:p>
      <w:pPr>
        <w:pStyle w:val="ListParagraph"/>
        <w:numPr>
          <w:ilvl w:val="0"/>
          <w:numId w:val="3"/>
        </w:numPr>
        <w:spacing w:after="40" w:before="40"/>
      </w:pPr>
      <w:r>
        <w:rPr>
          <w:rFonts w:ascii="Calibri" w:cs="Calibri" w:eastAsia="Calibri" w:hAnsi="Calibri"/>
          <w:color w:val="1A1A2E"/>
          <w:sz w:val="20"/>
          <w:szCs w:val="20"/>
        </w:rPr>
        <w:t xml:space="preserve">Minimum stock level alerts and auto-reorder suggestions</w:t>
      </w:r>
    </w:p>
    <w:p>
      <w:pPr>
        <w:pStyle w:val="ListParagraph"/>
        <w:numPr>
          <w:ilvl w:val="0"/>
          <w:numId w:val="3"/>
        </w:numPr>
        <w:spacing w:after="40" w:before="40"/>
      </w:pPr>
      <w:r>
        <w:rPr>
          <w:rFonts w:ascii="Calibri" w:cs="Calibri" w:eastAsia="Calibri" w:hAnsi="Calibri"/>
          <w:color w:val="1A1A2E"/>
          <w:sz w:val="20"/>
          <w:szCs w:val="20"/>
        </w:rPr>
        <w:t xml:space="preserve">Vendor invoice processing and payment request to finance</w:t>
      </w:r>
    </w:p>
    <w:p>
      <w:pPr>
        <w:pStyle w:val="ListParagraph"/>
        <w:numPr>
          <w:ilvl w:val="0"/>
          <w:numId w:val="3"/>
        </w:numPr>
        <w:spacing w:after="40" w:before="40"/>
      </w:pPr>
      <w:r>
        <w:rPr>
          <w:rFonts w:ascii="Calibri" w:cs="Calibri" w:eastAsia="Calibri" w:hAnsi="Calibri"/>
          <w:color w:val="1A1A2E"/>
          <w:sz w:val="20"/>
          <w:szCs w:val="20"/>
        </w:rPr>
        <w:t xml:space="preserve">Periodic stock audit and reconciliation report</w:t>
      </w:r>
    </w:p>
    <w:p>
      <w:r>
        <w:br w:type="page"/>
      </w:r>
    </w:p>
    <w:p>
      <w:pPr>
        <w:pStyle w:val="Heading1"/>
        <w:pBdr>
          <w:bottom w:val="single" w:color="2E75B6" w:sz="6" w:space="4"/>
        </w:pBdr>
        <w:spacing w:after="200" w:before="400"/>
      </w:pPr>
      <w:r>
        <w:rPr>
          <w:rFonts w:ascii="Calibri" w:cs="Calibri" w:eastAsia="Calibri" w:hAnsi="Calibri"/>
          <w:b/>
          <w:bCs/>
          <w:color w:val="1B3A6B"/>
          <w:sz w:val="40"/>
          <w:szCs w:val="40"/>
        </w:rPr>
        <w:t xml:space="preserve">18. Security &amp; Compliance</w:t>
      </w:r>
    </w:p>
    <w:p>
      <w:pPr>
        <w:pStyle w:val="Heading2"/>
        <w:spacing w:after="120" w:before="280"/>
      </w:pPr>
      <w:r>
        <w:rPr>
          <w:rFonts w:ascii="Calibri" w:cs="Calibri" w:eastAsia="Calibri" w:hAnsi="Calibri"/>
          <w:b/>
          <w:bCs/>
          <w:color w:val="2E75B6"/>
          <w:sz w:val="30"/>
          <w:szCs w:val="30"/>
        </w:rPr>
        <w:t xml:space="preserve">18.1 Authentication &amp;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Feature</w:t>
            </w:r>
          </w:p>
        </w:tc>
        <w:tc>
          <w:tcPr>
            <w:tcW w:type="dxa" w:w="686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Multi-Factor Authentication</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MFA mandatory for Super Admin, Finance, IT Admin; optional for other roles; supports TOTP and SMS OTP</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Single Sign-On (SSO)</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SAML 2.0 and OAuth 2.0 SSO support for institutional identity providers and Google/Microsoft accounts</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Role-Based Access Control</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Granular RBAC — 13 base roles with configurable module-level, record-level permissions</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Session Management</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Configurable session timeout; concurrent session control; forced logout capability</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Password Policy</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Minimum complexity rules; expiry and rotation policies; breach detection via HIBP API</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Biometric Login</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Fingerprint and Face ID authentication on mobile apps</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IP Whitelisting</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Admin panel access restriction by IP range; geo-blocking for anomalous logins</w:t>
            </w:r>
          </w:p>
        </w:tc>
      </w:tr>
    </w:tbl>
    <w:p>
      <w:pPr>
        <w:pStyle w:val="Heading2"/>
        <w:spacing w:after="120" w:before="280"/>
      </w:pPr>
      <w:r>
        <w:rPr>
          <w:rFonts w:ascii="Calibri" w:cs="Calibri" w:eastAsia="Calibri" w:hAnsi="Calibri"/>
          <w:b/>
          <w:bCs/>
          <w:color w:val="2E75B6"/>
          <w:sz w:val="30"/>
          <w:szCs w:val="30"/>
        </w:rPr>
        <w:t xml:space="preserve">18.2 Data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Security Control</w:t>
            </w:r>
          </w:p>
        </w:tc>
        <w:tc>
          <w:tcPr>
            <w:tcW w:type="dxa" w:w="686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Encryption at Rest</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AES-256 encryption for all sensitive data in database and file storage</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Encryption in Transit</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TLS 1.3 enforced for all API and web traffic; HSTS enabled</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Data Masking</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PII masking in non-production environments; partial masking in low-privilege views</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Database Backups</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Automated daily encrypted backups; 30-day retention; point-in-time recovery</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Audit Logs</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Immutable audit log for all create, update, delete, login, and payment events; 7-year retention</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Vulnerability Management</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Monthly automated vulnerability scans; annual penetration testing; OWASP Top 10 compliance</w:t>
            </w:r>
          </w:p>
        </w:tc>
      </w:tr>
    </w:tbl>
    <w:p>
      <w:pPr>
        <w:pStyle w:val="Heading2"/>
        <w:spacing w:after="120" w:before="280"/>
      </w:pPr>
      <w:r>
        <w:rPr>
          <w:rFonts w:ascii="Calibri" w:cs="Calibri" w:eastAsia="Calibri" w:hAnsi="Calibri"/>
          <w:b/>
          <w:bCs/>
          <w:color w:val="2E75B6"/>
          <w:sz w:val="30"/>
          <w:szCs w:val="30"/>
        </w:rPr>
        <w:t xml:space="preserve">18.3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Regulation</w:t>
            </w:r>
          </w:p>
        </w:tc>
        <w:tc>
          <w:tcPr>
            <w:tcW w:type="dxa" w:w="686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Requirement</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PDPA / Data Privacy</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Data minimization, consent management, right to erasure workflow, data retention policies</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FERPA (if applicable)</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Student education records protection for international institutions</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GDPR (if applicable)</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Data subject rights, DPO designation, breach notification within 72 hours</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Accessibility (WCAG 2.1)</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Web Content Accessibility Guidelines compliance — keyboard navigation, screen reader support</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Indian IT Act 2000</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Compliance with IT Act and Information Security Policy of India for Indian institutions</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UGC / AICTE Guidelines</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Report formats aligned with UGC and AICTE reporting requirements</w:t>
            </w:r>
          </w:p>
        </w:tc>
      </w:tr>
    </w:tbl>
    <w:p>
      <w:pPr>
        <w:pStyle w:val="Heading2"/>
        <w:spacing w:after="120" w:before="280"/>
      </w:pPr>
      <w:r>
        <w:rPr>
          <w:rFonts w:ascii="Calibri" w:cs="Calibri" w:eastAsia="Calibri" w:hAnsi="Calibri"/>
          <w:b/>
          <w:bCs/>
          <w:color w:val="2E75B6"/>
          <w:sz w:val="30"/>
          <w:szCs w:val="30"/>
        </w:rPr>
        <w:t xml:space="preserve">18.4 Security Monitoring</w:t>
      </w:r>
    </w:p>
    <w:p>
      <w:pPr>
        <w:pStyle w:val="ListParagraph"/>
        <w:numPr>
          <w:ilvl w:val="0"/>
          <w:numId w:val="3"/>
        </w:numPr>
        <w:spacing w:after="40" w:before="40"/>
      </w:pPr>
      <w:r>
        <w:rPr>
          <w:rFonts w:ascii="Calibri" w:cs="Calibri" w:eastAsia="Calibri" w:hAnsi="Calibri"/>
          <w:color w:val="1A1A2E"/>
          <w:sz w:val="20"/>
          <w:szCs w:val="20"/>
        </w:rPr>
        <w:t xml:space="preserve">Real-time intrusion detection and anomaly alerting via WAF</w:t>
      </w:r>
    </w:p>
    <w:p>
      <w:pPr>
        <w:pStyle w:val="ListParagraph"/>
        <w:numPr>
          <w:ilvl w:val="0"/>
          <w:numId w:val="3"/>
        </w:numPr>
        <w:spacing w:after="40" w:before="40"/>
      </w:pPr>
      <w:r>
        <w:rPr>
          <w:rFonts w:ascii="Calibri" w:cs="Calibri" w:eastAsia="Calibri" w:hAnsi="Calibri"/>
          <w:color w:val="1A1A2E"/>
          <w:sz w:val="20"/>
          <w:szCs w:val="20"/>
        </w:rPr>
        <w:t xml:space="preserve">Failed login attempt monitoring and automatic account lockout after configurable threshold</w:t>
      </w:r>
    </w:p>
    <w:p>
      <w:pPr>
        <w:pStyle w:val="ListParagraph"/>
        <w:numPr>
          <w:ilvl w:val="0"/>
          <w:numId w:val="3"/>
        </w:numPr>
        <w:spacing w:after="40" w:before="40"/>
      </w:pPr>
      <w:r>
        <w:rPr>
          <w:rFonts w:ascii="Calibri" w:cs="Calibri" w:eastAsia="Calibri" w:hAnsi="Calibri"/>
          <w:color w:val="1A1A2E"/>
          <w:sz w:val="20"/>
          <w:szCs w:val="20"/>
        </w:rPr>
        <w:t xml:space="preserve">Admin alert for unusual bulk data export or download events</w:t>
      </w:r>
    </w:p>
    <w:p>
      <w:pPr>
        <w:pStyle w:val="ListParagraph"/>
        <w:numPr>
          <w:ilvl w:val="0"/>
          <w:numId w:val="3"/>
        </w:numPr>
        <w:spacing w:after="40" w:before="40"/>
      </w:pPr>
      <w:r>
        <w:rPr>
          <w:rFonts w:ascii="Calibri" w:cs="Calibri" w:eastAsia="Calibri" w:hAnsi="Calibri"/>
          <w:color w:val="1A1A2E"/>
          <w:sz w:val="20"/>
          <w:szCs w:val="20"/>
        </w:rPr>
        <w:t xml:space="preserve">API rate limiting and DDoS protection</w:t>
      </w:r>
    </w:p>
    <w:p>
      <w:pPr>
        <w:pStyle w:val="ListParagraph"/>
        <w:numPr>
          <w:ilvl w:val="0"/>
          <w:numId w:val="3"/>
        </w:numPr>
        <w:spacing w:after="40" w:before="40"/>
      </w:pPr>
      <w:r>
        <w:rPr>
          <w:rFonts w:ascii="Calibri" w:cs="Calibri" w:eastAsia="Calibri" w:hAnsi="Calibri"/>
          <w:color w:val="1A1A2E"/>
          <w:sz w:val="20"/>
          <w:szCs w:val="20"/>
        </w:rPr>
        <w:t xml:space="preserve">Security incident log and response playbook integration</w:t>
      </w:r>
    </w:p>
    <w:p>
      <w:pPr>
        <w:pStyle w:val="ListParagraph"/>
        <w:numPr>
          <w:ilvl w:val="0"/>
          <w:numId w:val="3"/>
        </w:numPr>
        <w:spacing w:after="40" w:before="40"/>
      </w:pPr>
      <w:r>
        <w:rPr>
          <w:rFonts w:ascii="Calibri" w:cs="Calibri" w:eastAsia="Calibri" w:hAnsi="Calibri"/>
          <w:color w:val="1A1A2E"/>
          <w:sz w:val="20"/>
          <w:szCs w:val="20"/>
        </w:rPr>
        <w:t xml:space="preserve">Third-party security integrations (SIEM — Splunk / ELK) via syslog</w:t>
      </w:r>
    </w:p>
    <w:p>
      <w:r>
        <w:br w:type="page"/>
      </w:r>
    </w:p>
    <w:p>
      <w:pPr>
        <w:pStyle w:val="Heading1"/>
        <w:pBdr>
          <w:bottom w:val="single" w:color="2E75B6" w:sz="6" w:space="4"/>
        </w:pBdr>
        <w:spacing w:after="200" w:before="400"/>
      </w:pPr>
      <w:r>
        <w:rPr>
          <w:rFonts w:ascii="Calibri" w:cs="Calibri" w:eastAsia="Calibri" w:hAnsi="Calibri"/>
          <w:b/>
          <w:bCs/>
          <w:color w:val="1B3A6B"/>
          <w:sz w:val="40"/>
          <w:szCs w:val="40"/>
        </w:rPr>
        <w:t xml:space="preserve">19. Reports &amp; Analytics</w:t>
      </w:r>
    </w:p>
    <w:p>
      <w:pPr>
        <w:pStyle w:val="Heading2"/>
        <w:spacing w:after="120" w:before="280"/>
      </w:pPr>
      <w:r>
        <w:rPr>
          <w:rFonts w:ascii="Calibri" w:cs="Calibri" w:eastAsia="Calibri" w:hAnsi="Calibri"/>
          <w:b/>
          <w:bCs/>
          <w:color w:val="2E75B6"/>
          <w:sz w:val="30"/>
          <w:szCs w:val="30"/>
        </w:rPr>
        <w:t xml:space="preserve">19.1 Standard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Report Category</w:t>
            </w:r>
          </w:p>
        </w:tc>
        <w:tc>
          <w:tcPr>
            <w:tcW w:type="dxa" w:w="686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Key Reports Included</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Student Reports</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Enrollment statistics, batch-wise strength, gender ratio, category-wise breakdown, dropout rate</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Academic Reports</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Subject-wise pass/fail analysis, CGPA distribution, topper lists, arrear statistics, faculty workload</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Attendance Reports</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Department-wise, batch-wise, subject-wise attendance summary; shortage lists; trend analysis</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Fee Reports</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Collection summary, outstanding dues, defaulter list, scholarship utilization, revenue forecast</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Hostel Reports</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Occupancy rate, room-wise status, visitor log summary, incident report, mess utilization</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Library Reports</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Circulation statistics, overdue report, popular books, acquisition report, fine collection</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HR Reports</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Staff strength, department-wise headcount, leave utilization, payroll summary, attrition report</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Transport Reports</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Route-wise student count, trip log, GPS route compliance, transport fee status</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Exam Reports</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Result analysis, pass percentage, subject-wise performance, revaluation statistics</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Compliance Reports</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NAAC data export, UGC/AICTE mandatory reports, NIRF ranking data compilation</w:t>
            </w:r>
          </w:p>
        </w:tc>
      </w:tr>
    </w:tbl>
    <w:p>
      <w:pPr>
        <w:pStyle w:val="Heading2"/>
        <w:spacing w:after="120" w:before="280"/>
      </w:pPr>
      <w:r>
        <w:rPr>
          <w:rFonts w:ascii="Calibri" w:cs="Calibri" w:eastAsia="Calibri" w:hAnsi="Calibri"/>
          <w:b/>
          <w:bCs/>
          <w:color w:val="2E75B6"/>
          <w:sz w:val="30"/>
          <w:szCs w:val="30"/>
        </w:rPr>
        <w:t xml:space="preserve">19.2 Analytics Dashboard</w:t>
      </w:r>
    </w:p>
    <w:p>
      <w:pPr>
        <w:pStyle w:val="ListParagraph"/>
        <w:numPr>
          <w:ilvl w:val="0"/>
          <w:numId w:val="3"/>
        </w:numPr>
        <w:spacing w:after="40" w:before="40"/>
      </w:pPr>
      <w:r>
        <w:rPr>
          <w:rFonts w:ascii="Calibri" w:cs="Calibri" w:eastAsia="Calibri" w:hAnsi="Calibri"/>
          <w:color w:val="1A1A2E"/>
          <w:sz w:val="20"/>
          <w:szCs w:val="20"/>
        </w:rPr>
        <w:t xml:space="preserve">Executive dashboard for Principal/Dean — KPIs, enrollment, attendance, fee collection at a glance</w:t>
      </w:r>
    </w:p>
    <w:p>
      <w:pPr>
        <w:pStyle w:val="ListParagraph"/>
        <w:numPr>
          <w:ilvl w:val="0"/>
          <w:numId w:val="3"/>
        </w:numPr>
        <w:spacing w:after="40" w:before="40"/>
      </w:pPr>
      <w:r>
        <w:rPr>
          <w:rFonts w:ascii="Calibri" w:cs="Calibri" w:eastAsia="Calibri" w:hAnsi="Calibri"/>
          <w:color w:val="1A1A2E"/>
          <w:sz w:val="20"/>
          <w:szCs w:val="20"/>
        </w:rPr>
        <w:t xml:space="preserve">Real-time charts and trend graphs with configurable date ranges</w:t>
      </w:r>
    </w:p>
    <w:p>
      <w:pPr>
        <w:pStyle w:val="ListParagraph"/>
        <w:numPr>
          <w:ilvl w:val="0"/>
          <w:numId w:val="3"/>
        </w:numPr>
        <w:spacing w:after="40" w:before="40"/>
      </w:pPr>
      <w:r>
        <w:rPr>
          <w:rFonts w:ascii="Calibri" w:cs="Calibri" w:eastAsia="Calibri" w:hAnsi="Calibri"/>
          <w:color w:val="1A1A2E"/>
          <w:sz w:val="20"/>
          <w:szCs w:val="20"/>
        </w:rPr>
        <w:t xml:space="preserve">Drill-down analytics from institution → department → batch → individual student</w:t>
      </w:r>
    </w:p>
    <w:p>
      <w:pPr>
        <w:pStyle w:val="ListParagraph"/>
        <w:numPr>
          <w:ilvl w:val="0"/>
          <w:numId w:val="3"/>
        </w:numPr>
        <w:spacing w:after="40" w:before="40"/>
      </w:pPr>
      <w:r>
        <w:rPr>
          <w:rFonts w:ascii="Calibri" w:cs="Calibri" w:eastAsia="Calibri" w:hAnsi="Calibri"/>
          <w:color w:val="1A1A2E"/>
          <w:sz w:val="20"/>
          <w:szCs w:val="20"/>
        </w:rPr>
        <w:t xml:space="preserve">Predictive attendance alerts — identify at-risk students early</w:t>
      </w:r>
    </w:p>
    <w:p>
      <w:pPr>
        <w:pStyle w:val="ListParagraph"/>
        <w:numPr>
          <w:ilvl w:val="0"/>
          <w:numId w:val="3"/>
        </w:numPr>
        <w:spacing w:after="40" w:before="40"/>
      </w:pPr>
      <w:r>
        <w:rPr>
          <w:rFonts w:ascii="Calibri" w:cs="Calibri" w:eastAsia="Calibri" w:hAnsi="Calibri"/>
          <w:color w:val="1A1A2E"/>
          <w:sz w:val="20"/>
          <w:szCs w:val="20"/>
        </w:rPr>
        <w:t xml:space="preserve">Fee collection vs target tracking with variance analysis</w:t>
      </w:r>
    </w:p>
    <w:p>
      <w:pPr>
        <w:pStyle w:val="ListParagraph"/>
        <w:numPr>
          <w:ilvl w:val="0"/>
          <w:numId w:val="3"/>
        </w:numPr>
        <w:spacing w:after="40" w:before="40"/>
      </w:pPr>
      <w:r>
        <w:rPr>
          <w:rFonts w:ascii="Calibri" w:cs="Calibri" w:eastAsia="Calibri" w:hAnsi="Calibri"/>
          <w:color w:val="1A1A2E"/>
          <w:sz w:val="20"/>
          <w:szCs w:val="20"/>
        </w:rPr>
        <w:t xml:space="preserve">Faculty workload distribution and teaching hours analytics</w:t>
      </w:r>
    </w:p>
    <w:p>
      <w:pPr>
        <w:pStyle w:val="ListParagraph"/>
        <w:numPr>
          <w:ilvl w:val="0"/>
          <w:numId w:val="3"/>
        </w:numPr>
        <w:spacing w:after="40" w:before="40"/>
      </w:pPr>
      <w:r>
        <w:rPr>
          <w:rFonts w:ascii="Calibri" w:cs="Calibri" w:eastAsia="Calibri" w:hAnsi="Calibri"/>
          <w:color w:val="1A1A2E"/>
          <w:sz w:val="20"/>
          <w:szCs w:val="20"/>
        </w:rPr>
        <w:t xml:space="preserve">Custom report builder — drag-and-drop field selection with export</w:t>
      </w:r>
    </w:p>
    <w:p>
      <w:r>
        <w:br w:type="page"/>
      </w:r>
    </w:p>
    <w:p>
      <w:pPr>
        <w:pStyle w:val="Heading1"/>
        <w:pBdr>
          <w:bottom w:val="single" w:color="2E75B6" w:sz="6" w:space="4"/>
        </w:pBdr>
        <w:spacing w:after="200" w:before="400"/>
      </w:pPr>
      <w:r>
        <w:rPr>
          <w:rFonts w:ascii="Calibri" w:cs="Calibri" w:eastAsia="Calibri" w:hAnsi="Calibri"/>
          <w:b/>
          <w:bCs/>
          <w:color w:val="1B3A6B"/>
          <w:sz w:val="40"/>
          <w:szCs w:val="40"/>
        </w:rPr>
        <w:t xml:space="preserve">20. IT Administration &amp; System Configuration</w:t>
      </w:r>
    </w:p>
    <w:p>
      <w:pPr>
        <w:pStyle w:val="Heading2"/>
        <w:spacing w:after="120" w:before="280"/>
      </w:pPr>
      <w:r>
        <w:rPr>
          <w:rFonts w:ascii="Calibri" w:cs="Calibri" w:eastAsia="Calibri" w:hAnsi="Calibri"/>
          <w:b/>
          <w:bCs/>
          <w:color w:val="2E75B6"/>
          <w:sz w:val="30"/>
          <w:szCs w:val="30"/>
        </w:rPr>
        <w:t xml:space="preserve">20.1 System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Configuration Area</w:t>
            </w:r>
          </w:p>
        </w:tc>
        <w:tc>
          <w:tcPr>
            <w:tcW w:type="dxa" w:w="686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Institution Setup</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College name, logo, address, accreditation details, academic calendar, working hours</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Module Enable/Disable</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Super Admin can enable or disable modules per institution requirement</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Academic Structure</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Programs, departments, semesters, subjects — master data configuration</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Regulation Management</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Multiple academic regulations management with version control</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Notification Templates</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Email, SMS, and push notification template management with variable support</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Workflow Configuration</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Approval workflow configuration for leaves, fees, hostel, certificates, events</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Theme &amp; Branding</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Institution logo, color scheme, and branding customization for web and mobile</w:t>
            </w:r>
          </w:p>
        </w:tc>
      </w:tr>
    </w:tbl>
    <w:p>
      <w:pPr>
        <w:pStyle w:val="Heading2"/>
        <w:spacing w:after="120" w:before="280"/>
      </w:pPr>
      <w:r>
        <w:rPr>
          <w:rFonts w:ascii="Calibri" w:cs="Calibri" w:eastAsia="Calibri" w:hAnsi="Calibri"/>
          <w:b/>
          <w:bCs/>
          <w:color w:val="2E75B6"/>
          <w:sz w:val="30"/>
          <w:szCs w:val="30"/>
        </w:rPr>
        <w:t xml:space="preserve">20.2 User Management</w:t>
      </w:r>
    </w:p>
    <w:p>
      <w:pPr>
        <w:spacing w:after="80" w:before="60"/>
      </w:pPr>
      <w:r>
        <w:rPr>
          <w:rFonts w:ascii="Calibri" w:cs="Calibri" w:eastAsia="Calibri" w:hAnsi="Calibri"/>
          <w:color w:val="1A1A2E"/>
          <w:sz w:val="20"/>
          <w:szCs w:val="20"/>
        </w:rPr>
        <w:t xml:space="preserve">Bulk user creation via CSV import; password reset and unlock; role assignment; department and access group management; user activity log; deactivation with data retention on staff exit.</w:t>
      </w:r>
    </w:p>
    <w:p>
      <w:pPr>
        <w:pStyle w:val="Heading2"/>
        <w:spacing w:after="120" w:before="280"/>
      </w:pPr>
      <w:r>
        <w:rPr>
          <w:rFonts w:ascii="Calibri" w:cs="Calibri" w:eastAsia="Calibri" w:hAnsi="Calibri"/>
          <w:b/>
          <w:bCs/>
          <w:color w:val="2E75B6"/>
          <w:sz w:val="30"/>
          <w:szCs w:val="30"/>
        </w:rPr>
        <w:t xml:space="preserve">20.3 Integration Management</w:t>
      </w:r>
    </w:p>
    <w:p>
      <w:pPr>
        <w:pStyle w:val="ListParagraph"/>
        <w:numPr>
          <w:ilvl w:val="0"/>
          <w:numId w:val="3"/>
        </w:numPr>
        <w:spacing w:after="40" w:before="40"/>
      </w:pPr>
      <w:r>
        <w:rPr>
          <w:rFonts w:ascii="Calibri" w:cs="Calibri" w:eastAsia="Calibri" w:hAnsi="Calibri"/>
          <w:color w:val="1A1A2E"/>
          <w:sz w:val="20"/>
          <w:szCs w:val="20"/>
        </w:rPr>
        <w:t xml:space="preserve">Biometric device integration (ZKTeco, Suprema, and compatible manufacturers) via SDK/REST API</w:t>
      </w:r>
    </w:p>
    <w:p>
      <w:pPr>
        <w:pStyle w:val="ListParagraph"/>
        <w:numPr>
          <w:ilvl w:val="0"/>
          <w:numId w:val="3"/>
        </w:numPr>
        <w:spacing w:after="40" w:before="40"/>
      </w:pPr>
      <w:r>
        <w:rPr>
          <w:rFonts w:ascii="Calibri" w:cs="Calibri" w:eastAsia="Calibri" w:hAnsi="Calibri"/>
          <w:color w:val="1A1A2E"/>
          <w:sz w:val="20"/>
          <w:szCs w:val="20"/>
        </w:rPr>
        <w:t xml:space="preserve">SMS gateway integration (Twilio, MSG91, Exotel) with message template management</w:t>
      </w:r>
    </w:p>
    <w:p>
      <w:pPr>
        <w:pStyle w:val="ListParagraph"/>
        <w:numPr>
          <w:ilvl w:val="0"/>
          <w:numId w:val="3"/>
        </w:numPr>
        <w:spacing w:after="40" w:before="40"/>
      </w:pPr>
      <w:r>
        <w:rPr>
          <w:rFonts w:ascii="Calibri" w:cs="Calibri" w:eastAsia="Calibri" w:hAnsi="Calibri"/>
          <w:color w:val="1A1A2E"/>
          <w:sz w:val="20"/>
          <w:szCs w:val="20"/>
        </w:rPr>
        <w:t xml:space="preserve">Email service integration (SendGrid, Amazon SES, SMTP relay)</w:t>
      </w:r>
    </w:p>
    <w:p>
      <w:pPr>
        <w:pStyle w:val="ListParagraph"/>
        <w:numPr>
          <w:ilvl w:val="0"/>
          <w:numId w:val="3"/>
        </w:numPr>
        <w:spacing w:after="40" w:before="40"/>
      </w:pPr>
      <w:r>
        <w:rPr>
          <w:rFonts w:ascii="Calibri" w:cs="Calibri" w:eastAsia="Calibri" w:hAnsi="Calibri"/>
          <w:color w:val="1A1A2E"/>
          <w:sz w:val="20"/>
          <w:szCs w:val="20"/>
        </w:rPr>
        <w:t xml:space="preserve">Payment gateway API management (key configuration, webhook endpoint, testing mode)</w:t>
      </w:r>
    </w:p>
    <w:p>
      <w:pPr>
        <w:pStyle w:val="ListParagraph"/>
        <w:numPr>
          <w:ilvl w:val="0"/>
          <w:numId w:val="3"/>
        </w:numPr>
        <w:spacing w:after="40" w:before="40"/>
      </w:pPr>
      <w:r>
        <w:rPr>
          <w:rFonts w:ascii="Calibri" w:cs="Calibri" w:eastAsia="Calibri" w:hAnsi="Calibri"/>
          <w:color w:val="1A1A2E"/>
          <w:sz w:val="20"/>
          <w:szCs w:val="20"/>
        </w:rPr>
        <w:t xml:space="preserve">Government portal integration (NSP scholarship portal, AICTE data portal, UGC portal)</w:t>
      </w:r>
    </w:p>
    <w:p>
      <w:pPr>
        <w:pStyle w:val="ListParagraph"/>
        <w:numPr>
          <w:ilvl w:val="0"/>
          <w:numId w:val="3"/>
        </w:numPr>
        <w:spacing w:after="40" w:before="40"/>
      </w:pPr>
      <w:r>
        <w:rPr>
          <w:rFonts w:ascii="Calibri" w:cs="Calibri" w:eastAsia="Calibri" w:hAnsi="Calibri"/>
          <w:color w:val="1A1A2E"/>
          <w:sz w:val="20"/>
          <w:szCs w:val="20"/>
        </w:rPr>
        <w:t xml:space="preserve">ERP / Tally integration for financial data export</w:t>
      </w:r>
    </w:p>
    <w:p>
      <w:pPr>
        <w:pStyle w:val="ListParagraph"/>
        <w:numPr>
          <w:ilvl w:val="0"/>
          <w:numId w:val="3"/>
        </w:numPr>
        <w:spacing w:after="40" w:before="40"/>
      </w:pPr>
      <w:r>
        <w:rPr>
          <w:rFonts w:ascii="Calibri" w:cs="Calibri" w:eastAsia="Calibri" w:hAnsi="Calibri"/>
          <w:color w:val="1A1A2E"/>
          <w:sz w:val="20"/>
          <w:szCs w:val="20"/>
        </w:rPr>
        <w:t xml:space="preserve">Google Workspace / Microsoft 365 SSO and calendar integration</w:t>
      </w:r>
    </w:p>
    <w:p>
      <w:pPr>
        <w:pStyle w:val="ListParagraph"/>
        <w:numPr>
          <w:ilvl w:val="0"/>
          <w:numId w:val="3"/>
        </w:numPr>
        <w:spacing w:after="40" w:before="40"/>
      </w:pPr>
      <w:r>
        <w:rPr>
          <w:rFonts w:ascii="Calibri" w:cs="Calibri" w:eastAsia="Calibri" w:hAnsi="Calibri"/>
          <w:color w:val="1A1A2E"/>
          <w:sz w:val="20"/>
          <w:szCs w:val="20"/>
        </w:rPr>
        <w:t xml:space="preserve">Open API documentation (Swagger/OpenAPI 3.0) for third-party integrations</w:t>
      </w:r>
    </w:p>
    <w:p>
      <w:pPr>
        <w:pStyle w:val="Heading2"/>
        <w:spacing w:after="120" w:before="280"/>
      </w:pPr>
      <w:r>
        <w:rPr>
          <w:rFonts w:ascii="Calibri" w:cs="Calibri" w:eastAsia="Calibri" w:hAnsi="Calibri"/>
          <w:b/>
          <w:bCs/>
          <w:color w:val="2E75B6"/>
          <w:sz w:val="30"/>
          <w:szCs w:val="30"/>
        </w:rPr>
        <w:t xml:space="preserve">20.4 Helpdesk &amp; Support Module</w:t>
      </w:r>
    </w:p>
    <w:p>
      <w:pPr>
        <w:spacing w:after="80" w:before="60"/>
      </w:pPr>
      <w:r>
        <w:rPr>
          <w:rFonts w:ascii="Calibri" w:cs="Calibri" w:eastAsia="Calibri" w:hAnsi="Calibri"/>
          <w:color w:val="1A1A2E"/>
          <w:sz w:val="20"/>
          <w:szCs w:val="20"/>
        </w:rPr>
        <w:t xml:space="preserve">Internal IT helpdesk ticket system for staff and student technical issues. Ticket creation, assignment to IT Admin, SLA tracking, resolution documentation, and user satisfaction rating.</w:t>
      </w:r>
    </w:p>
    <w:p>
      <w:r>
        <w:br w:type="page"/>
      </w:r>
    </w:p>
    <w:p>
      <w:pPr>
        <w:pStyle w:val="Heading1"/>
        <w:pBdr>
          <w:bottom w:val="single" w:color="2E75B6" w:sz="6" w:space="4"/>
        </w:pBdr>
        <w:spacing w:after="200" w:before="400"/>
      </w:pPr>
      <w:r>
        <w:rPr>
          <w:rFonts w:ascii="Calibri" w:cs="Calibri" w:eastAsia="Calibri" w:hAnsi="Calibri"/>
          <w:b/>
          <w:bCs/>
          <w:color w:val="1B3A6B"/>
          <w:sz w:val="40"/>
          <w:szCs w:val="40"/>
        </w:rPr>
        <w:t xml:space="preserve">21.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700"/>
        <w:gridCol w:w="2060"/>
      </w:tblGrid>
      <w:tr>
        <w:tc>
          <w:tcPr>
            <w:tcW w:type="dxa" w:w="18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Category</w:t>
            </w:r>
          </w:p>
        </w:tc>
        <w:tc>
          <w:tcPr>
            <w:tcW w:type="dxa" w:w="28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Requirement</w:t>
            </w:r>
          </w:p>
        </w:tc>
        <w:tc>
          <w:tcPr>
            <w:tcW w:type="dxa" w:w="27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Target / Standard</w:t>
            </w:r>
          </w:p>
        </w:tc>
        <w:tc>
          <w:tcPr>
            <w:tcW w:type="dxa" w:w="206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Priority</w:t>
            </w:r>
          </w:p>
        </w:tc>
      </w:tr>
      <w:tr>
        <w:tc>
          <w:tcPr>
            <w:tcW w:type="dxa" w:w="18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Performance</w:t>
            </w:r>
          </w:p>
        </w:tc>
        <w:tc>
          <w:tcPr>
            <w:tcW w:type="dxa" w:w="28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Page load time (web)</w:t>
            </w:r>
          </w:p>
        </w:tc>
        <w:tc>
          <w:tcPr>
            <w:tcW w:type="dxa" w:w="27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&lt; 2 seconds (95th percentile)</w:t>
            </w:r>
          </w:p>
        </w:tc>
        <w:tc>
          <w:tcPr>
            <w:tcW w:type="dxa" w:w="20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Critical</w:t>
            </w:r>
          </w:p>
        </w:tc>
      </w:tr>
      <w:tr>
        <w:tc>
          <w:tcPr>
            <w:tcW w:type="dxa" w:w="18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Performance</w:t>
            </w:r>
          </w:p>
        </w:tc>
        <w:tc>
          <w:tcPr>
            <w:tcW w:type="dxa" w:w="28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API response time</w:t>
            </w:r>
          </w:p>
        </w:tc>
        <w:tc>
          <w:tcPr>
            <w:tcW w:type="dxa" w:w="27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&lt; 500ms for standard queries</w:t>
            </w:r>
          </w:p>
        </w:tc>
        <w:tc>
          <w:tcPr>
            <w:tcW w:type="dxa" w:w="20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Critical</w:t>
            </w:r>
          </w:p>
        </w:tc>
      </w:tr>
      <w:tr>
        <w:tc>
          <w:tcPr>
            <w:tcW w:type="dxa" w:w="18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Performance</w:t>
            </w:r>
          </w:p>
        </w:tc>
        <w:tc>
          <w:tcPr>
            <w:tcW w:type="dxa" w:w="28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Concurrent users</w:t>
            </w:r>
          </w:p>
        </w:tc>
        <w:tc>
          <w:tcPr>
            <w:tcW w:type="dxa" w:w="27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5,000+ simultaneous users</w:t>
            </w:r>
          </w:p>
        </w:tc>
        <w:tc>
          <w:tcPr>
            <w:tcW w:type="dxa" w:w="20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High</w:t>
            </w:r>
          </w:p>
        </w:tc>
      </w:tr>
      <w:tr>
        <w:tc>
          <w:tcPr>
            <w:tcW w:type="dxa" w:w="18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Availability</w:t>
            </w:r>
          </w:p>
        </w:tc>
        <w:tc>
          <w:tcPr>
            <w:tcW w:type="dxa" w:w="28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System uptime</w:t>
            </w:r>
          </w:p>
        </w:tc>
        <w:tc>
          <w:tcPr>
            <w:tcW w:type="dxa" w:w="27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99.9% SLA (&lt; 8.7 hrs downtime/year)</w:t>
            </w:r>
          </w:p>
        </w:tc>
        <w:tc>
          <w:tcPr>
            <w:tcW w:type="dxa" w:w="20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Critical</w:t>
            </w:r>
          </w:p>
        </w:tc>
      </w:tr>
      <w:tr>
        <w:tc>
          <w:tcPr>
            <w:tcW w:type="dxa" w:w="18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Availability</w:t>
            </w:r>
          </w:p>
        </w:tc>
        <w:tc>
          <w:tcPr>
            <w:tcW w:type="dxa" w:w="28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Planned maintenance window</w:t>
            </w:r>
          </w:p>
        </w:tc>
        <w:tc>
          <w:tcPr>
            <w:tcW w:type="dxa" w:w="27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Sunday 2:00 AM – 4:00 AM</w:t>
            </w:r>
          </w:p>
        </w:tc>
        <w:tc>
          <w:tcPr>
            <w:tcW w:type="dxa" w:w="20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High</w:t>
            </w:r>
          </w:p>
        </w:tc>
      </w:tr>
      <w:tr>
        <w:tc>
          <w:tcPr>
            <w:tcW w:type="dxa" w:w="18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Scalability</w:t>
            </w:r>
          </w:p>
        </w:tc>
        <w:tc>
          <w:tcPr>
            <w:tcW w:type="dxa" w:w="28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Horizontal scaling</w:t>
            </w:r>
          </w:p>
        </w:tc>
        <w:tc>
          <w:tcPr>
            <w:tcW w:type="dxa" w:w="27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Auto-scale on load via Kubernetes</w:t>
            </w:r>
          </w:p>
        </w:tc>
        <w:tc>
          <w:tcPr>
            <w:tcW w:type="dxa" w:w="20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High</w:t>
            </w:r>
          </w:p>
        </w:tc>
      </w:tr>
      <w:tr>
        <w:tc>
          <w:tcPr>
            <w:tcW w:type="dxa" w:w="18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Scalability</w:t>
            </w:r>
          </w:p>
        </w:tc>
        <w:tc>
          <w:tcPr>
            <w:tcW w:type="dxa" w:w="28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Data volume</w:t>
            </w:r>
          </w:p>
        </w:tc>
        <w:tc>
          <w:tcPr>
            <w:tcW w:type="dxa" w:w="27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Support 1M+ student records without degradation</w:t>
            </w:r>
          </w:p>
        </w:tc>
        <w:tc>
          <w:tcPr>
            <w:tcW w:type="dxa" w:w="20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High</w:t>
            </w:r>
          </w:p>
        </w:tc>
      </w:tr>
      <w:tr>
        <w:tc>
          <w:tcPr>
            <w:tcW w:type="dxa" w:w="18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Security</w:t>
            </w:r>
          </w:p>
        </w:tc>
        <w:tc>
          <w:tcPr>
            <w:tcW w:type="dxa" w:w="28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Penetration testing</w:t>
            </w:r>
          </w:p>
        </w:tc>
        <w:tc>
          <w:tcPr>
            <w:tcW w:type="dxa" w:w="27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Annual third-party pentest</w:t>
            </w:r>
          </w:p>
        </w:tc>
        <w:tc>
          <w:tcPr>
            <w:tcW w:type="dxa" w:w="20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Critical</w:t>
            </w:r>
          </w:p>
        </w:tc>
      </w:tr>
      <w:tr>
        <w:tc>
          <w:tcPr>
            <w:tcW w:type="dxa" w:w="18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Security</w:t>
            </w:r>
          </w:p>
        </w:tc>
        <w:tc>
          <w:tcPr>
            <w:tcW w:type="dxa" w:w="28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Vulnerability patches</w:t>
            </w:r>
          </w:p>
        </w:tc>
        <w:tc>
          <w:tcPr>
            <w:tcW w:type="dxa" w:w="27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Critical patches within 24 hours</w:t>
            </w:r>
          </w:p>
        </w:tc>
        <w:tc>
          <w:tcPr>
            <w:tcW w:type="dxa" w:w="20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Critical</w:t>
            </w:r>
          </w:p>
        </w:tc>
      </w:tr>
      <w:tr>
        <w:tc>
          <w:tcPr>
            <w:tcW w:type="dxa" w:w="18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Backup</w:t>
            </w:r>
          </w:p>
        </w:tc>
        <w:tc>
          <w:tcPr>
            <w:tcW w:type="dxa" w:w="28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Data backup frequency</w:t>
            </w:r>
          </w:p>
        </w:tc>
        <w:tc>
          <w:tcPr>
            <w:tcW w:type="dxa" w:w="27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Daily automated; real-time replication</w:t>
            </w:r>
          </w:p>
        </w:tc>
        <w:tc>
          <w:tcPr>
            <w:tcW w:type="dxa" w:w="20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Critical</w:t>
            </w:r>
          </w:p>
        </w:tc>
      </w:tr>
      <w:tr>
        <w:tc>
          <w:tcPr>
            <w:tcW w:type="dxa" w:w="18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Backup</w:t>
            </w:r>
          </w:p>
        </w:tc>
        <w:tc>
          <w:tcPr>
            <w:tcW w:type="dxa" w:w="28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Recovery Time Objective</w:t>
            </w:r>
          </w:p>
        </w:tc>
        <w:tc>
          <w:tcPr>
            <w:tcW w:type="dxa" w:w="27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RTO &lt; 4 hours</w:t>
            </w:r>
          </w:p>
        </w:tc>
        <w:tc>
          <w:tcPr>
            <w:tcW w:type="dxa" w:w="20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Critical</w:t>
            </w:r>
          </w:p>
        </w:tc>
      </w:tr>
      <w:tr>
        <w:tc>
          <w:tcPr>
            <w:tcW w:type="dxa" w:w="18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Backup</w:t>
            </w:r>
          </w:p>
        </w:tc>
        <w:tc>
          <w:tcPr>
            <w:tcW w:type="dxa" w:w="28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Recovery Point Objective</w:t>
            </w:r>
          </w:p>
        </w:tc>
        <w:tc>
          <w:tcPr>
            <w:tcW w:type="dxa" w:w="27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RPO &lt; 1 hour</w:t>
            </w:r>
          </w:p>
        </w:tc>
        <w:tc>
          <w:tcPr>
            <w:tcW w:type="dxa" w:w="20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Critical</w:t>
            </w:r>
          </w:p>
        </w:tc>
      </w:tr>
      <w:tr>
        <w:tc>
          <w:tcPr>
            <w:tcW w:type="dxa" w:w="18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Usability</w:t>
            </w:r>
          </w:p>
        </w:tc>
        <w:tc>
          <w:tcPr>
            <w:tcW w:type="dxa" w:w="28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Mobile app rating</w:t>
            </w:r>
          </w:p>
        </w:tc>
        <w:tc>
          <w:tcPr>
            <w:tcW w:type="dxa" w:w="27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Target 4.0+ on Play Store / App Store</w:t>
            </w:r>
          </w:p>
        </w:tc>
        <w:tc>
          <w:tcPr>
            <w:tcW w:type="dxa" w:w="20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Medium</w:t>
            </w:r>
          </w:p>
        </w:tc>
      </w:tr>
      <w:tr>
        <w:tc>
          <w:tcPr>
            <w:tcW w:type="dxa" w:w="18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Accessibility</w:t>
            </w:r>
          </w:p>
        </w:tc>
        <w:tc>
          <w:tcPr>
            <w:tcW w:type="dxa" w:w="28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WCAG compliance</w:t>
            </w:r>
          </w:p>
        </w:tc>
        <w:tc>
          <w:tcPr>
            <w:tcW w:type="dxa" w:w="27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WCAG 2.1 Level AA</w:t>
            </w:r>
          </w:p>
        </w:tc>
        <w:tc>
          <w:tcPr>
            <w:tcW w:type="dxa" w:w="20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Medium</w:t>
            </w:r>
          </w:p>
        </w:tc>
      </w:tr>
      <w:tr>
        <w:tc>
          <w:tcPr>
            <w:tcW w:type="dxa" w:w="18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Localization</w:t>
            </w:r>
          </w:p>
        </w:tc>
        <w:tc>
          <w:tcPr>
            <w:tcW w:type="dxa" w:w="28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Language support</w:t>
            </w:r>
          </w:p>
        </w:tc>
        <w:tc>
          <w:tcPr>
            <w:tcW w:type="dxa" w:w="27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English + regional language (configurable)</w:t>
            </w:r>
          </w:p>
        </w:tc>
        <w:tc>
          <w:tcPr>
            <w:tcW w:type="dxa" w:w="20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Medium</w:t>
            </w:r>
          </w:p>
        </w:tc>
      </w:tr>
    </w:tbl>
    <w:p>
      <w:r>
        <w:br w:type="page"/>
      </w:r>
    </w:p>
    <w:p>
      <w:pPr>
        <w:pStyle w:val="Heading1"/>
        <w:pBdr>
          <w:bottom w:val="single" w:color="2E75B6" w:sz="6" w:space="4"/>
        </w:pBdr>
        <w:spacing w:after="200" w:before="400"/>
      </w:pPr>
      <w:r>
        <w:rPr>
          <w:rFonts w:ascii="Calibri" w:cs="Calibri" w:eastAsia="Calibri" w:hAnsi="Calibri"/>
          <w:b/>
          <w:bCs/>
          <w:color w:val="1B3A6B"/>
          <w:sz w:val="40"/>
          <w:szCs w:val="40"/>
        </w:rPr>
        <w:t xml:space="preserve">22. Integration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Integration</w:t>
            </w:r>
          </w:p>
        </w:tc>
        <w:tc>
          <w:tcPr>
            <w:tcW w:type="dxa" w:w="686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Details</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Biometric Attendance Devices</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ZKTeco, Suprema, ESSL — push-based integration; real-time attendance sync</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SMS Gateway</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MSG91, Twilio, Exotel — template-based transactional and bulk SMS</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Email Service</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SendGrid, Amazon SES — transactional emails with template support</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Payment Gateways</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Razorpay, PayU, CCAvenue, Stripe — webhook-based real-time payment confirmation</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National Scholarship Portal (NSP)</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API integration for eligible student data sync and scholarship tracking</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Google / Microsoft SSO</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OAuth 2.0 SSO login for staff and students with institutional accounts</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ERP / Tally</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Financial data export in Tally-compatible format; automated journal entry generation</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WhatsApp Business API</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Parent notifications via WhatsApp (optional add-on)</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NAAC / NIRF Data Portal</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Structured data export for NAAC accreditation and NIRF ranking submission</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DigiLocker</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Student document verification via DigiLocker API (Aadhar, board certificates)</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GPS Tracking Provider</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Google Maps Platform / MapmyIndia for transport route and live tracking</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Video Conferencing</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Zoom / Google Meet API integration for online class scheduling</w:t>
            </w:r>
          </w:p>
        </w:tc>
      </w:tr>
    </w:tbl>
    <w:p>
      <w:r>
        <w:br w:type="page"/>
      </w:r>
    </w:p>
    <w:p>
      <w:pPr>
        <w:pStyle w:val="Heading1"/>
        <w:pBdr>
          <w:bottom w:val="single" w:color="2E75B6" w:sz="6" w:space="4"/>
        </w:pBdr>
        <w:spacing w:after="200" w:before="400"/>
      </w:pPr>
      <w:r>
        <w:rPr>
          <w:rFonts w:ascii="Calibri" w:cs="Calibri" w:eastAsia="Calibri" w:hAnsi="Calibri"/>
          <w:b/>
          <w:bCs/>
          <w:color w:val="1B3A6B"/>
          <w:sz w:val="40"/>
          <w:szCs w:val="40"/>
        </w:rPr>
        <w:t xml:space="preserve">23. Data Migration &amp; Onboarding</w:t>
      </w:r>
    </w:p>
    <w:p>
      <w:pPr>
        <w:pStyle w:val="Heading2"/>
        <w:spacing w:after="120" w:before="280"/>
      </w:pPr>
      <w:r>
        <w:rPr>
          <w:rFonts w:ascii="Calibri" w:cs="Calibri" w:eastAsia="Calibri" w:hAnsi="Calibri"/>
          <w:b/>
          <w:bCs/>
          <w:color w:val="2E75B6"/>
          <w:sz w:val="30"/>
          <w:szCs w:val="30"/>
        </w:rPr>
        <w:t xml:space="preserve">23.1 Migration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Phase</w:t>
            </w:r>
          </w:p>
        </w:tc>
        <w:tc>
          <w:tcPr>
            <w:tcW w:type="dxa" w:w="686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Legacy Data Assessment</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Audit of existing data in spreadsheets, legacy software, or paper records; data quality assessment</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Data Templates</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Standardized Excel import templates for students, staff, fee structures, course catalog, asset register</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Bulk Import Tools</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Validated bulk import with error reporting; duplicate detection; rollback capability</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Historical Data</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Import of historical academic records, fee payment history, and attendance data</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Parallel Running</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Recommended 2-month parallel operation with legacy system before full cutover</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Data Validation</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Post-migration validation reports comparing record counts, key field checksums</w:t>
            </w:r>
          </w:p>
        </w:tc>
      </w:tr>
    </w:tbl>
    <w:p>
      <w:pPr>
        <w:pStyle w:val="Heading2"/>
        <w:spacing w:after="120" w:before="280"/>
      </w:pPr>
      <w:r>
        <w:rPr>
          <w:rFonts w:ascii="Calibri" w:cs="Calibri" w:eastAsia="Calibri" w:hAnsi="Calibri"/>
          <w:b/>
          <w:bCs/>
          <w:color w:val="2E75B6"/>
          <w:sz w:val="30"/>
          <w:szCs w:val="30"/>
        </w:rPr>
        <w:t xml:space="preserve">23.2 Training &amp; Go-Live Support</w:t>
      </w:r>
    </w:p>
    <w:p>
      <w:pPr>
        <w:pStyle w:val="ListParagraph"/>
        <w:numPr>
          <w:ilvl w:val="0"/>
          <w:numId w:val="3"/>
        </w:numPr>
        <w:spacing w:after="40" w:before="40"/>
      </w:pPr>
      <w:r>
        <w:rPr>
          <w:rFonts w:ascii="Calibri" w:cs="Calibri" w:eastAsia="Calibri" w:hAnsi="Calibri"/>
          <w:color w:val="1A1A2E"/>
          <w:sz w:val="20"/>
          <w:szCs w:val="20"/>
        </w:rPr>
        <w:t xml:space="preserve">Role-based training modules for each persona type</w:t>
      </w:r>
    </w:p>
    <w:p>
      <w:pPr>
        <w:pStyle w:val="ListParagraph"/>
        <w:numPr>
          <w:ilvl w:val="0"/>
          <w:numId w:val="3"/>
        </w:numPr>
        <w:spacing w:after="40" w:before="40"/>
      </w:pPr>
      <w:r>
        <w:rPr>
          <w:rFonts w:ascii="Calibri" w:cs="Calibri" w:eastAsia="Calibri" w:hAnsi="Calibri"/>
          <w:color w:val="1A1A2E"/>
          <w:sz w:val="20"/>
          <w:szCs w:val="20"/>
        </w:rPr>
        <w:t xml:space="preserve">Video tutorials and user manuals for self-paced learning</w:t>
      </w:r>
    </w:p>
    <w:p>
      <w:pPr>
        <w:pStyle w:val="ListParagraph"/>
        <w:numPr>
          <w:ilvl w:val="0"/>
          <w:numId w:val="3"/>
        </w:numPr>
        <w:spacing w:after="40" w:before="40"/>
      </w:pPr>
      <w:r>
        <w:rPr>
          <w:rFonts w:ascii="Calibri" w:cs="Calibri" w:eastAsia="Calibri" w:hAnsi="Calibri"/>
          <w:color w:val="1A1A2E"/>
          <w:sz w:val="20"/>
          <w:szCs w:val="20"/>
        </w:rPr>
        <w:t xml:space="preserve">Train-the-trainer program for institutional champions</w:t>
      </w:r>
    </w:p>
    <w:p>
      <w:pPr>
        <w:pStyle w:val="ListParagraph"/>
        <w:numPr>
          <w:ilvl w:val="0"/>
          <w:numId w:val="3"/>
        </w:numPr>
        <w:spacing w:after="40" w:before="40"/>
      </w:pPr>
      <w:r>
        <w:rPr>
          <w:rFonts w:ascii="Calibri" w:cs="Calibri" w:eastAsia="Calibri" w:hAnsi="Calibri"/>
          <w:color w:val="1A1A2E"/>
          <w:sz w:val="20"/>
          <w:szCs w:val="20"/>
        </w:rPr>
        <w:t xml:space="preserve">On-site go-live support for minimum 2 weeks</w:t>
      </w:r>
    </w:p>
    <w:p>
      <w:pPr>
        <w:pStyle w:val="ListParagraph"/>
        <w:numPr>
          <w:ilvl w:val="0"/>
          <w:numId w:val="3"/>
        </w:numPr>
        <w:spacing w:after="40" w:before="40"/>
      </w:pPr>
      <w:r>
        <w:rPr>
          <w:rFonts w:ascii="Calibri" w:cs="Calibri" w:eastAsia="Calibri" w:hAnsi="Calibri"/>
          <w:color w:val="1A1A2E"/>
          <w:sz w:val="20"/>
          <w:szCs w:val="20"/>
        </w:rPr>
        <w:t xml:space="preserve">Dedicated helpdesk during first 30 days post go-live</w:t>
      </w:r>
    </w:p>
    <w:p>
      <w:r>
        <w:br w:type="page"/>
      </w:r>
    </w:p>
    <w:p>
      <w:pPr>
        <w:pStyle w:val="Heading1"/>
        <w:pBdr>
          <w:bottom w:val="single" w:color="2E75B6" w:sz="6" w:space="4"/>
        </w:pBdr>
        <w:spacing w:after="200" w:before="400"/>
      </w:pPr>
      <w:r>
        <w:rPr>
          <w:rFonts w:ascii="Calibri" w:cs="Calibri" w:eastAsia="Calibri" w:hAnsi="Calibri"/>
          <w:b/>
          <w:bCs/>
          <w:color w:val="1B3A6B"/>
          <w:sz w:val="40"/>
          <w:szCs w:val="40"/>
        </w:rPr>
        <w:t xml:space="preserve">24. Roles &amp; Permissions Matrix</w:t>
      </w:r>
    </w:p>
    <w:p>
      <w:pPr>
        <w:spacing w:after="80" w:before="60"/>
      </w:pPr>
      <w:r>
        <w:rPr>
          <w:rFonts w:ascii="Calibri" w:cs="Calibri" w:eastAsia="Calibri" w:hAnsi="Calibri"/>
          <w:color w:val="1A1A2E"/>
          <w:sz w:val="20"/>
          <w:szCs w:val="20"/>
        </w:rPr>
        <w:t xml:space="preserve">The table below summarizes module-level access per persona. Symbols: F = Full Access, V = View Only, L = Limited, — = No Access.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600"/>
        <w:gridCol w:w="600"/>
        <w:gridCol w:w="600"/>
        <w:gridCol w:w="600"/>
        <w:gridCol w:w="600"/>
        <w:gridCol w:w="600"/>
        <w:gridCol w:w="600"/>
        <w:gridCol w:w="600"/>
        <w:gridCol w:w="600"/>
        <w:gridCol w:w="600"/>
        <w:gridCol w:w="600"/>
        <w:gridCol w:w="600"/>
      </w:tblGrid>
      <w:tr>
        <w:tc>
          <w:tcPr>
            <w:tcW w:type="dxa" w:w="16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Module</w:t>
            </w:r>
          </w:p>
        </w:tc>
        <w:tc>
          <w:tcPr>
            <w:tcW w:type="dxa" w:w="6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6"/>
                <w:szCs w:val="16"/>
              </w:rPr>
              <w:t xml:space="preserve">S.Adm</w:t>
            </w:r>
          </w:p>
        </w:tc>
        <w:tc>
          <w:tcPr>
            <w:tcW w:type="dxa" w:w="6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6"/>
                <w:szCs w:val="16"/>
              </w:rPr>
              <w:t xml:space="preserve">Col.Adm</w:t>
            </w:r>
          </w:p>
        </w:tc>
        <w:tc>
          <w:tcPr>
            <w:tcW w:type="dxa" w:w="6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6"/>
                <w:szCs w:val="16"/>
              </w:rPr>
              <w:t xml:space="preserve">Prin</w:t>
            </w:r>
          </w:p>
        </w:tc>
        <w:tc>
          <w:tcPr>
            <w:tcW w:type="dxa" w:w="6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6"/>
                <w:szCs w:val="16"/>
              </w:rPr>
              <w:t xml:space="preserve">HOD</w:t>
            </w:r>
          </w:p>
        </w:tc>
        <w:tc>
          <w:tcPr>
            <w:tcW w:type="dxa" w:w="6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6"/>
                <w:szCs w:val="16"/>
              </w:rPr>
              <w:t xml:space="preserve">Fac</w:t>
            </w:r>
          </w:p>
        </w:tc>
        <w:tc>
          <w:tcPr>
            <w:tcW w:type="dxa" w:w="6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6"/>
                <w:szCs w:val="16"/>
              </w:rPr>
              <w:t xml:space="preserve">Stu</w:t>
            </w:r>
          </w:p>
        </w:tc>
        <w:tc>
          <w:tcPr>
            <w:tcW w:type="dxa" w:w="6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6"/>
                <w:szCs w:val="16"/>
              </w:rPr>
              <w:t xml:space="preserve">Par</w:t>
            </w:r>
          </w:p>
        </w:tc>
        <w:tc>
          <w:tcPr>
            <w:tcW w:type="dxa" w:w="6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6"/>
                <w:szCs w:val="16"/>
              </w:rPr>
              <w:t xml:space="preserve">HR</w:t>
            </w:r>
          </w:p>
        </w:tc>
        <w:tc>
          <w:tcPr>
            <w:tcW w:type="dxa" w:w="6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6"/>
                <w:szCs w:val="16"/>
              </w:rPr>
              <w:t xml:space="preserve">Fin</w:t>
            </w:r>
          </w:p>
        </w:tc>
        <w:tc>
          <w:tcPr>
            <w:tcW w:type="dxa" w:w="6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6"/>
                <w:szCs w:val="16"/>
              </w:rPr>
              <w:t xml:space="preserve">Lib</w:t>
            </w:r>
          </w:p>
        </w:tc>
        <w:tc>
          <w:tcPr>
            <w:tcW w:type="dxa" w:w="6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6"/>
                <w:szCs w:val="16"/>
              </w:rPr>
              <w:t xml:space="preserve">Ward</w:t>
            </w:r>
          </w:p>
        </w:tc>
        <w:tc>
          <w:tcPr>
            <w:tcW w:type="dxa" w:w="6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6"/>
                <w:szCs w:val="16"/>
              </w:rPr>
              <w:t xml:space="preserve">Trans</w:t>
            </w:r>
          </w:p>
        </w:tc>
        <w:tc>
          <w:tcPr>
            <w:tcW w:type="dxa" w:w="6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6"/>
                <w:szCs w:val="16"/>
              </w:rPr>
              <w:t xml:space="preserve">IT</w:t>
            </w:r>
          </w:p>
        </w:tc>
      </w:tr>
      <w:tr>
        <w:tc>
          <w:tcPr>
            <w:tcW w:type="dxa" w:w="1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Student Mgmt</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L</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L</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L</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L</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r>
      <w:tr>
        <w:tc>
          <w:tcPr>
            <w:tcW w:type="dxa" w:w="1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Staff &amp; HR</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r>
      <w:tr>
        <w:tc>
          <w:tcPr>
            <w:tcW w:type="dxa" w:w="1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Academic Ops</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L</w:t>
            </w:r>
          </w:p>
        </w:tc>
      </w:tr>
      <w:tr>
        <w:tc>
          <w:tcPr>
            <w:tcW w:type="dxa" w:w="1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Fee &amp; Finance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L</w:t>
            </w:r>
          </w:p>
        </w:tc>
      </w:tr>
      <w:tr>
        <w:tc>
          <w:tcPr>
            <w:tcW w:type="dxa" w:w="1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Hostel Mgmt</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L</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L</w:t>
            </w:r>
          </w:p>
        </w:tc>
      </w:tr>
      <w:tr>
        <w:tc>
          <w:tcPr>
            <w:tcW w:type="dxa" w:w="1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Transport</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L</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L</w:t>
            </w:r>
          </w:p>
        </w:tc>
      </w:tr>
      <w:tr>
        <w:tc>
          <w:tcPr>
            <w:tcW w:type="dxa" w:w="1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Library</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L</w:t>
            </w:r>
          </w:p>
        </w:tc>
      </w:tr>
      <w:tr>
        <w:tc>
          <w:tcPr>
            <w:tcW w:type="dxa" w:w="1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Attendance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L</w:t>
            </w:r>
          </w:p>
        </w:tc>
      </w:tr>
      <w:tr>
        <w:tc>
          <w:tcPr>
            <w:tcW w:type="dxa" w:w="1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Examination</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L</w:t>
            </w:r>
          </w:p>
        </w:tc>
      </w:tr>
      <w:tr>
        <w:tc>
          <w:tcPr>
            <w:tcW w:type="dxa" w:w="1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Events/Cultural</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L</w:t>
            </w:r>
          </w:p>
        </w:tc>
      </w:tr>
      <w:tr>
        <w:tc>
          <w:tcPr>
            <w:tcW w:type="dxa" w:w="1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Communication</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r>
      <w:tr>
        <w:tc>
          <w:tcPr>
            <w:tcW w:type="dxa" w:w="1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Payment Gateway</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L</w:t>
            </w:r>
          </w:p>
        </w:tc>
      </w:tr>
      <w:tr>
        <w:tc>
          <w:tcPr>
            <w:tcW w:type="dxa" w:w="1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Inventory/Assets</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L</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V</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L</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L</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r>
      <w:tr>
        <w:tc>
          <w:tcPr>
            <w:tcW w:type="dxa" w:w="1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Security/Logs</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r>
      <w:tr>
        <w:tc>
          <w:tcPr>
            <w:tcW w:type="dxa" w:w="1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Reports/Analytics</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L</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L</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L</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L</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L</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L</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E75B6"/>
                <w:sz w:val="18"/>
                <w:szCs w:val="18"/>
              </w:rPr>
              <w:t xml:space="preserve">L</w:t>
            </w:r>
          </w:p>
        </w:tc>
        <w:tc>
          <w:tcPr>
            <w:tcW w:type="dxa" w:w="6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r>
      <w:tr>
        <w:tc>
          <w:tcPr>
            <w:tcW w:type="dxa" w:w="1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IT Admin/Config</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val="false"/>
                <w:bCs w:val="false"/>
                <w:color w:val="AAAAAA"/>
                <w:sz w:val="18"/>
                <w:szCs w:val="18"/>
              </w:rPr>
              <w:t xml:space="preserve">—</w:t>
            </w:r>
          </w:p>
        </w:tc>
        <w:tc>
          <w:tcPr>
            <w:tcW w:type="dxa" w:w="6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vAlign w:val="center"/>
          </w:tcPr>
          <w:p>
            <w:pPr>
              <w:jc w:val="center"/>
            </w:pPr>
            <w:r>
              <w:rPr>
                <w:rFonts w:ascii="Calibri" w:cs="Calibri" w:eastAsia="Calibri" w:hAnsi="Calibri"/>
                <w:b/>
                <w:bCs/>
                <w:color w:val="1B3A6B"/>
                <w:sz w:val="18"/>
                <w:szCs w:val="18"/>
              </w:rPr>
              <w:t xml:space="preserve">F</w:t>
            </w:r>
          </w:p>
        </w:tc>
      </w:tr>
    </w:tbl>
    <w:p>
      <w:r>
        <w:br w:type="page"/>
      </w:r>
    </w:p>
    <w:p>
      <w:pPr>
        <w:pStyle w:val="Heading1"/>
        <w:pBdr>
          <w:bottom w:val="single" w:color="2E75B6" w:sz="6" w:space="4"/>
        </w:pBdr>
        <w:spacing w:after="200" w:before="400"/>
      </w:pPr>
      <w:r>
        <w:rPr>
          <w:rFonts w:ascii="Calibri" w:cs="Calibri" w:eastAsia="Calibri" w:hAnsi="Calibri"/>
          <w:b/>
          <w:bCs/>
          <w:color w:val="1B3A6B"/>
          <w:sz w:val="40"/>
          <w:szCs w:val="40"/>
        </w:rPr>
        <w:t xml:space="preserve">25.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Term</w:t>
            </w:r>
          </w:p>
        </w:tc>
        <w:tc>
          <w:tcPr>
            <w:tcW w:type="dxa" w:w="6860"/>
            <w:tcBorders>
              <w:top w:val="single" w:color="AABBD4" w:sz="1"/>
              <w:left w:val="single" w:color="AABBD4" w:sz="1"/>
              <w:bottom w:val="single" w:color="AABBD4" w:sz="1"/>
              <w:right w:val="single" w:color="AABBD4" w:sz="1"/>
            </w:tcBorders>
            <w:shd w:fill="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Definition</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CGPA</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Cumulative Grade Point Average — weighted average of grade points across all semesters</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SGPA</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Semester Grade Point Average — grade point average for a single semester</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OPAC</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Online Public Access Catalog — searchable library catalog accessible to students and staff</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GRN</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Goods Receipt Note — document confirming receipt of purchased goods from vendor</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RBAC</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Role-Based Access Control — permission system based on assigned user roles</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SSO</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Single Sign-On — authentication method allowing one login for multiple systems</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MFA</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Multi-Factor Authentication — security requiring two or more verification factors</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PCI-DSS</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Payment Card Industry Data Security Standard — compliance standard for card payment security</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TC</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Transfer Certificate — document issued to student leaving the institution</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LOP</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Loss of Pay — leave taken without pay entitlement when leave balance is exhausted</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SLA</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Service Level Agreement — defined minimum service performance standards</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KPI</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Key Performance Indicator — measurable value demonstrating effectiveness</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NAAC</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National Assessment and Accreditation Council — accreditation body for Indian higher education</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NIRF</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National Institutional Ranking Framework — ranking system by Indian Ministry of Education</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AICTE</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All India Council for Technical Education — regulatory body for technical education in India</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NSP</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National Scholarship Portal — Government of India's centralized scholarship platform</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DigiLocker</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Government of India's digital document verification and storage platform</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FCM</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Firebase Cloud Messaging — Google's cross-platform push notification service</w:t>
            </w:r>
          </w:p>
        </w:tc>
      </w:tr>
      <w:tr>
        <w:tc>
          <w:tcPr>
            <w:tcW w:type="dxa" w:w="25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WAF</w:t>
            </w:r>
          </w:p>
        </w:tc>
        <w:tc>
          <w:tcPr>
            <w:tcW w:type="dxa" w:w="68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Web Application Firewall — security layer filtering malicious HTTP traffic</w:t>
            </w:r>
          </w:p>
        </w:tc>
      </w:tr>
      <w:tr>
        <w:tc>
          <w:tcPr>
            <w:tcW w:type="dxa" w:w="250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b/>
                <w:bCs/>
                <w:color w:val="1B3A6B"/>
                <w:sz w:val="20"/>
                <w:szCs w:val="20"/>
              </w:rPr>
              <w:t xml:space="preserve">DXA</w:t>
            </w:r>
          </w:p>
        </w:tc>
        <w:tc>
          <w:tcPr>
            <w:tcW w:type="dxa" w:w="6860"/>
            <w:tcBorders>
              <w:top w:val="single" w:color="AABBD4" w:sz="1"/>
              <w:left w:val="single" w:color="AABBD4" w:sz="1"/>
              <w:bottom w:val="single" w:color="AABBD4" w:sz="1"/>
              <w:right w:val="single" w:color="AABBD4" w:sz="1"/>
            </w:tcBorders>
            <w:shd w:fill="EEF4FB" w:val="clear"/>
            <w:tcMar>
              <w:top w:type="dxa" w:w="80"/>
              <w:left w:type="dxa" w:w="120"/>
              <w:bottom w:type="dxa" w:w="80"/>
              <w:right w:type="dxa" w:w="120"/>
            </w:tcMar>
          </w:tcPr>
          <w:p>
            <w:r>
              <w:rPr>
                <w:rFonts w:ascii="Calibri" w:cs="Calibri" w:eastAsia="Calibri" w:hAnsi="Calibri"/>
                <w:color w:val="1A1A2E"/>
                <w:sz w:val="20"/>
                <w:szCs w:val="20"/>
              </w:rPr>
              <w:t xml:space="preserve">Document XML Attribute — unit of measurement in Office Open XML (1 inch = 1440 DXA)</w:t>
            </w:r>
          </w:p>
        </w:tc>
      </w:tr>
    </w:tbl>
    <w:p>
      <w:pPr>
        <w:spacing w:after="0" w:before="200"/>
      </w:pPr>
      <w:r>
        <w:t xml:space="preserve"/>
      </w:r>
    </w:p>
    <w:p>
      <w:pPr>
        <w:pBdr>
          <w:top w:val="single" w:color="2E75B6" w:sz="4" w:space="8"/>
        </w:pBdr>
        <w:spacing w:before="200"/>
        <w:jc w:val="center"/>
      </w:pPr>
      <w:r>
        <w:rPr>
          <w:rFonts w:ascii="Calibri" w:cs="Calibri" w:eastAsia="Calibri" w:hAnsi="Calibri"/>
          <w:i/>
          <w:iCs/>
          <w:color w:val="2E75B6"/>
          <w:sz w:val="18"/>
          <w:szCs w:val="18"/>
        </w:rPr>
        <w:t xml:space="preserve">END OF DOCUMENT — College Management System SRS v1.0 —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jc w:val="center"/>
    </w:pPr>
    <w:r>
      <w:rPr>
        <w:rFonts w:ascii="Calibri" w:cs="Calibri" w:eastAsia="Calibri" w:hAnsi="Calibri"/>
        <w:color w:val="2E75B6"/>
        <w:sz w:val="16"/>
        <w:szCs w:val="16"/>
      </w:rPr>
      <w:t xml:space="preserve">Page </w:t>
    </w:r>
    <w:fldSimple w:instr="PAGE"/>
    <w:r>
      <w:rPr>
        <w:rFonts w:ascii="Calibri" w:cs="Calibri" w:eastAsia="Calibri" w:hAnsi="Calibri"/>
        <w:color w:val="2E75B6"/>
        <w:sz w:val="16"/>
        <w:szCs w:val="16"/>
      </w:rPr>
      <w:t xml:space="preserve">   |   Enterprise College Management System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00"/>
      <w:jc w:val="right"/>
    </w:pPr>
    <w:r>
      <w:rPr>
        <w:rFonts w:ascii="Calibri" w:cs="Calibri" w:eastAsia="Calibri" w:hAnsi="Calibri"/>
        <w:color w:val="2E75B6"/>
        <w:sz w:val="16"/>
        <w:szCs w:val="16"/>
      </w:rPr>
      <w:t xml:space="preserve">College Management System — SRS v1.0</w:t>
    </w:r>
    <w:r>
      <w:rPr>
        <w:rFonts w:ascii="Calibri" w:cs="Calibri" w:eastAsia="Calibri" w:hAnsi="Calibri"/>
        <w:color w:val="AABBD4"/>
        <w:sz w:val="16"/>
        <w:szCs w:val="16"/>
      </w:rPr>
      <w:t xml:space="preserve">     |     </w:t>
    </w:r>
    <w:r>
      <w:rPr>
        <w:rFonts w:ascii="Calibri" w:cs="Calibri" w:eastAsia="Calibri" w:hAnsi="Calibri"/>
        <w:b/>
        <w:bCs/>
        <w:color w:val="1B3A6B"/>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B3A6B"/>
      <w:sz w:val="40"/>
      <w:szCs w:val="40"/>
    </w:rPr>
  </w:style>
  <w:style w:type="paragraph" w:styleId="Heading2">
    <w:name w:val="Heading 2"/>
    <w:basedOn w:val="Normal"/>
    <w:next w:val="Normal"/>
    <w:qFormat/>
    <w:pPr>
      <w:spacing w:after="12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80" w:before="200"/>
      <w:outlineLvl w:val="2"/>
    </w:pPr>
    <w:rPr>
      <w:rFonts w:ascii="Calibri" w:cs="Calibri" w:eastAsia="Calibri" w:hAnsi="Calibri"/>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2026-04-13T18:20:56.215Z</dcterms:created>
  <dcterms:modified xsi:type="dcterms:W3CDTF">2026-04-13T18:20:56.216Z</dcterms:modified>
</cp:coreProperties>
</file>

<file path=docProps/custom.xml><?xml version="1.0" encoding="utf-8"?>
<Properties xmlns="http://schemas.openxmlformats.org/officeDocument/2006/custom-properties" xmlns:vt="http://schemas.openxmlformats.org/officeDocument/2006/docPropsVTypes"/>
</file>