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Pipeline and Hybrid Retrieval Standard Operating Procedure</w:t>
      </w:r>
    </w:p>
    <w:p>
      <w:pPr>
        <w:pStyle w:val="Heading1"/>
      </w:pPr>
      <w:r>
        <w:t>1. Free-First Local Embedding Architecture</w:t>
      </w:r>
    </w:p>
    <w:p>
      <w:r>
        <w:t>By default, the Enterprise Knowledge Assistant uses the local BAAI/bge-small-en-v1.5 embedding model via Sentence Transformers on CPU, producing 384-dimensional L2-normalized vectors. For multilingual document collections, administrators may migrate to intfloat/multilingual-e5-small (also 384 dimensions, MIT license) using the zero-downtime embedding migration workflow.</w:t>
      </w:r>
    </w:p>
    <w:p>
      <w:pPr>
        <w:pStyle w:val="Heading1"/>
      </w:pPr>
      <w:r>
        <w:t>2. Hybrid Search and Reciprocal Rank Fusion (RRF)</w:t>
      </w:r>
    </w:p>
    <w:p>
      <w:r>
        <w:t>Every query runs two pre-filtered PostgreSQL retrieval paths: cosine distance over pgvector and lexical matching over PostgreSQL tsvector full-text search. Results are combined using Reciprocal Rank Fusion with constant k = 60. Near-duplicate passages are deduplicated by SHA-256 content_hash.</w:t>
      </w:r>
    </w:p>
    <w:p>
      <w:pPr>
        <w:pStyle w:val="Heading1"/>
      </w:pPr>
      <w:r>
        <w:t>3. Degraded Mode and Citation Validation</w:t>
      </w:r>
    </w:p>
    <w:p>
      <w:r>
        <w:t>When GENERATION_PROVIDER is set to none, the workspace operates in retrieval-only mode and displays ranked source passages without fabricating AI text. When a generation provider is enabled, every inline citation marker such as [S1] or [S2] is validated server-side against the authorized evidence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