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USG - OBSTETRIC SCANClinical details:-GA (LMP)-- weeks -- daysLMP:EDD (LMP)FINDINGS:Follow Case of --- chorionic --- amniotic twin pregnancy.Placenta is located in ---- position. Not low lying.Cervix measures ---- cm. Internal os is closed.FETAL BIOMETRY:FETUS AFETUS BSideat maternal --- sideat maternal --- sidePresentation at presentAmniotic fluid volumeAdequateAdequateFoetal movementsSeenSeenFoetal heart rate (bpm)Fetal biometryMeas. (cm)Gest. age(wks/days)Meas. (cm)Gest. age(wks/days)BPDHCACFLEFW (gms)GA by USG--- weeks --- days--- weeks --- daysThe cranium, cerebral hemispheres, falx cerebri, lateral ventricles and cerebellum appears normal.Visualized face, orbits, nose and mouth appears normal.Fetal neck appears normal.Fetal spine appears normal. No evidence of neural tube defect.Normal cardiac situs noted. The four chamber view appear normal.The diaphragm appear normal.Bilateral kidneys appear normal.Normal stomach and bladder. Bilateral upper and lower limbs appear normal.Three-vessel umbilical cord is visualized.No gross foetal anomaly is noted at the time of USG.IMPRESSION:Twins live intrauterine fetus A ---- &amp; fetus B ---- presentations with adequate liquor.Dr. Sanul ShahiMBBS, DMRD, DNB, MNAMSAssistant Professor* I have neither detected nor disclosed the sex of fetus to anybody in any manner.* All measurements including fetal weight are subject to statistical variation depending on the period of gestation, fetal position, amount of liquor and maternal body habitus. 3rd trimester USG fetal biometry and fetal age can vary upto 4 weeks. First trimester USG (CRL) is more accurate for calculating fetal age / EDD by USG. *Ideal fetal age for anomaly scan is 20 weeks.All fetal anomalies cannot be detected by a USG study. Even though scan has been performed as per current international guide lines for fetal imaging, certain anomalies may go undetected due to technical limitation, unfavorable fetal positions, abnormal amount of amniotic fluid and maternal body habitus. Anomalies may develop or worsen later in pregnancy and therefore serial studies are suggested. Subtle anomalies like mid facial dysmorphism, clefts of posterior palate, small cardiac septal defects. T.O.F and anomalies that involve towards later gestation may not be evident until after birth. Assessment of small body parts like fingers, toes and ears does not come within the scope of targeted anomaly scan.Fetal echocardiography study not included. Diagnosing cardiac anomalies is beyond the scope of this scan.*Uterine leiomyoma cannot be excluded in gravid uterus routinely.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