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USG - OBSTETRIC SCANClinical details:-GA (LMP)-- weeks -- daysLMP:EDD (LMP)FINDINGS:Follow Case of --- chorionic --- amniotic twin pregnancy.Placenta is located in ---- position. Not low lying.Cervix measures ---- cm. Internal os is closed.FETAL BIOMETRY:FETUS AFETUS BSideat maternal --- sideat maternal --- sidePresentation at presentAmniotic fluid volumeAdequateAdequateFoetal movementsSeenSeenFoetal heart rate (bpm)Fetal biometryMeas. (cm)Gest. age(wks/days)Meas. (cm)Gest. age(wks/days)BPDHCACFLEFW (gms)GA by USG--- weeks --- days--- weeks --- daysThe cranium, cerebral hemispheres, falx cerebri, lateral ventricles and cerebellum appears normal.Visualized face, orbits, nose and mouth appears normal.Fetal neck appears normal.Fetal spine appears normal. No evidence of neural tube defect.Normal cardiac situs noted. The four chamber view appear normal.The diaphragm appear normal.Bilateral kidneys appear normal.Normal stomach and bladder. Bilateral upper and lower limbs appear normal.Three-vessel umbilical cord is visualized.No gross foetal anomaly is noted at the time of USG.IMPRESSION:Twins live intrauterine fetus A ---- &amp; fetus B ---- presentations with adequate liquor.Dr. Sanul ShahiMBBS, DMRD, DNB, MNAMSAssistant Professor* I have neither detected nor disclosed the sex of fetus to anybody in any manner.* All measurements including fetal weight are subject to statistical variation depending on the period of gestation, fetal position, amount of liquor and maternal body habitus. 3rd trimester USG fetal biometry and fetal age can vary upto 4 weeks. First trimester USG (CRL) is more accurate for calculating fetal age / EDD by USG. *Ideal fetal age for anomaly scan is 20 weeks.All fetal anomalies cannot be detected by a USG study. Even though scan has been performed as per current international guide lines for fetal imaging, certain anomalies may go undetected due to technical limitation, unfavorable fetal positions, abnormal amount of amniotic fluid and maternal body habitus. Anomalies may develop or worsen later in pregnancy and therefore serial studies are suggested. Subtle anomalies like mid facial dysmorphism, clefts of posterior palate, small cardiac septal defects. T.O.F and anomalies that involve towards later gestation may not be evident until after birth. Assessment of small body parts like fingers, toes and ears does not come within the scope of targeted anomaly scan.Fetal echocardiography study not included. Diagnosing cardiac anomalies is beyond the scope of this scan.*Uterine leiomyoma cannot be excluded in gravid uterus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ahoma" w:hAnsi="Tahom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