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HRCT TEMPORAL BONEClinical details:Protocol: High resolution plain serial CT sections of the temporal bone was acquired.FINDINGS:Right ear:External auditory canal is normal.Middle ear cavity is normal. No evidence of fluid / soft tissue lesions are seen.Ossicles are normal.Scutum is intact. Prussak’s space is normal.The aditus, antrum and mastoid air cells are normal.The labyrinthine, tympanic and mastoid portions of the facial nerve canal are normal.The bony cochlea, vestibule and the semicircular canals appear normal.The internal auditory meatus is normal.Left ear:External auditory canal is normal.Middle ear cavity is normal. No evidence of fluid / soft tissue lesions are seen.Ossicles are normal.Scutum is intact. Prussak’s space is normal.The aditus, antrum and mastoid air cells are normal.The labyrinthine, tympanic and mastoid portions of the facial nerve canal are normal.The bony cochlea, vestibule and the semicircular canals appear normal.The internal auditory meatus is normal.Visualised neuro-parenchyma and the posterior fossa are normal.Visualised paranasal sinuses and the nasopharynx are normal.Carotid canal and jugular foramen appear normal on both sides.Eustachian tube canals appear normal.</w:t>
        <w:tab/>
        <w:tab/>
        <w:tab/>
        <w:tab/>
        <w:t>IMPRESSION: HRCT Temporal bone study reveals,Normal study of temporal bone.sdsssssssssssssssssssssssssssskjijijijiijjjijjDr. Sanul ShahiMBBS, DMRD, DNB, MNAMSAssistant Professor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