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left"/>
      </w:pPr>
      <w:r>
        <w:rPr>
          <w:rFonts w:ascii="Arial" w:cs="Arial" w:eastAsia="Arial" w:hAnsi="Arial"/>
          <w:b/>
          <w:bCs/>
          <w:color w:val="1F4E79"/>
          <w:sz w:val="52"/>
          <w:szCs w:val="52"/>
        </w:rPr>
        <w:t xml:space="preserve">AI Transformation Proposal</w:t>
      </w:r>
    </w:p>
    <w:p>
      <w:pPr>
        <w:spacing w:after="600" w:before="0"/>
      </w:pPr>
      <w:r>
        <w:rPr>
          <w:rFonts w:ascii="Arial" w:cs="Arial" w:eastAsia="Arial" w:hAnsi="Arial"/>
          <w:i/>
          <w:iCs/>
          <w:color w:val="2E75B6"/>
          <w:sz w:val="36"/>
          <w:szCs w:val="36"/>
        </w:rPr>
        <w:t xml:space="preserve">PanelIQ, BrandScope &amp; BidSense</w:t>
      </w:r>
    </w:p>
    <w:p>
      <w:pPr>
        <w:spacing w:after="200" w:before="0"/>
      </w:pPr>
      <w:r>
        <w:rPr>
          <w:rFonts w:ascii="Arial" w:cs="Arial" w:eastAsia="Arial" w:hAnsi="Arial"/>
          <w:color w:val="404040"/>
          <w:sz w:val="24"/>
          <w:szCs w:val="24"/>
        </w:rPr>
        <w:t xml:space="preserve">AI-Powered Operational Intelligence for Panel Management, Research Planning &amp; Proposal Generation</w:t>
      </w:r>
    </w:p>
    <w:p>
      <w:pPr>
        <w:pBdr>
          <w:bottom w:val="single" w:color="2E75B6" w:sz="6" w:space="8"/>
        </w:pBdr>
        <w:spacing w:after="2000" w:before="0"/>
      </w:pPr>
      <w:r>
        <w:rPr>
          <w:rFonts w:ascii="Arial" w:cs="Arial" w:eastAsia="Arial" w:hAnsi="Arial"/>
          <w:color w:val="404040"/>
          <w:sz w:val="22"/>
          <w:szCs w:val="22"/>
        </w:rPr>
        <w:t xml:space="preserve">BorderlessAccess  |  May 2026</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color w:val="000000"/>
          <w:sz w:val="22"/>
          <w:szCs w:val="22"/>
        </w:rPr>
        <w:t xml:space="preserve">This proposal outlines the development of three AI-powered platforms designed to transform core operational functions at BorderlessAccess: PanelIQ, the BrandScope, and the BidSense. Together, these platforms replace manual, time-consuming processes with real-time intelligence, enabling leadership, researchers, and bid teams to make faster, more informed decisions.</w:t>
      </w:r>
    </w:p>
    <w:p>
      <w:pPr>
        <w:spacing w:after="60" w:before="60"/>
      </w:pPr>
      <w:r>
        <w:t xml:space="preserve"/>
      </w:r>
    </w:p>
    <w:p>
      <w:pPr>
        <w:spacing w:after="60" w:before="60"/>
      </w:pPr>
      <w:r>
        <w:rPr>
          <w:rFonts w:ascii="Arial" w:cs="Arial" w:eastAsia="Arial" w:hAnsi="Arial"/>
          <w:color w:val="000000"/>
          <w:sz w:val="22"/>
          <w:szCs w:val="22"/>
        </w:rPr>
        <w:t xml:space="preserve">Each tool is built on a shared AI engine (Claude claude-sonnet-4-6 by Anthropic) and a common web platform architecture, ensuring consistency in user experience and cost efficiency in development. The tools are designed to be released sequentially, with each module incorporating real-user feedback before the next is built.</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Key Business Benefits</w:t>
      </w:r>
    </w:p>
    <w:p>
      <w:pPr>
        <w:pStyle w:val="ListParagraph"/>
        <w:numPr>
          <w:ilvl w:val="0"/>
          <w:numId w:val="2"/>
        </w:numPr>
        <w:spacing w:after="60" w:before="60"/>
      </w:pPr>
      <w:r>
        <w:rPr>
          <w:rFonts w:ascii="Arial" w:cs="Arial" w:eastAsia="Arial" w:hAnsi="Arial"/>
          <w:b w:val="false"/>
          <w:bCs w:val="false"/>
          <w:color w:val="000000"/>
          <w:sz w:val="22"/>
          <w:szCs w:val="22"/>
        </w:rPr>
        <w:t xml:space="preserve">Real-time panel health, engagement, and cost intelligence — no manual reporting required</w:t>
      </w:r>
    </w:p>
    <w:p>
      <w:pPr>
        <w:pStyle w:val="ListParagraph"/>
        <w:numPr>
          <w:ilvl w:val="0"/>
          <w:numId w:val="2"/>
        </w:numPr>
        <w:spacing w:after="60" w:before="60"/>
      </w:pPr>
      <w:r>
        <w:rPr>
          <w:rFonts w:ascii="Arial" w:cs="Arial" w:eastAsia="Arial" w:hAnsi="Arial"/>
          <w:b w:val="false"/>
          <w:bCs w:val="false"/>
          <w:color w:val="000000"/>
          <w:sz w:val="22"/>
          <w:szCs w:val="22"/>
        </w:rPr>
        <w:t xml:space="preserve">Instant brand research briefs powered by live web data — reducing researcher prep time from days to minutes</w:t>
      </w:r>
    </w:p>
    <w:p>
      <w:pPr>
        <w:pStyle w:val="ListParagraph"/>
        <w:numPr>
          <w:ilvl w:val="0"/>
          <w:numId w:val="2"/>
        </w:numPr>
        <w:spacing w:after="60" w:before="60"/>
      </w:pPr>
      <w:r>
        <w:rPr>
          <w:rFonts w:ascii="Arial" w:cs="Arial" w:eastAsia="Arial" w:hAnsi="Arial"/>
          <w:b w:val="false"/>
          <w:bCs w:val="false"/>
          <w:color w:val="000000"/>
          <w:sz w:val="22"/>
          <w:szCs w:val="22"/>
        </w:rPr>
        <w:t xml:space="preserve">AI-assisted RFP proposals grounded in historical client and audience engagement data</w:t>
      </w:r>
    </w:p>
    <w:p>
      <w:pPr>
        <w:pStyle w:val="ListParagraph"/>
        <w:numPr>
          <w:ilvl w:val="0"/>
          <w:numId w:val="2"/>
        </w:numPr>
        <w:spacing w:after="60" w:before="60"/>
      </w:pPr>
      <w:r>
        <w:rPr>
          <w:rFonts w:ascii="Arial" w:cs="Arial" w:eastAsia="Arial" w:hAnsi="Arial"/>
          <w:b w:val="false"/>
          <w:bCs w:val="false"/>
          <w:color w:val="000000"/>
          <w:sz w:val="22"/>
          <w:szCs w:val="22"/>
        </w:rPr>
        <w:t xml:space="preserve">Consistent, role-based access ensures data security across all three tools</w:t>
      </w:r>
    </w:p>
    <w:p>
      <w:pPr>
        <w:pStyle w:val="ListParagraph"/>
        <w:numPr>
          <w:ilvl w:val="0"/>
          <w:numId w:val="2"/>
        </w:numPr>
        <w:spacing w:after="60" w:before="60"/>
      </w:pPr>
      <w:r>
        <w:rPr>
          <w:rFonts w:ascii="Arial" w:cs="Arial" w:eastAsia="Arial" w:hAnsi="Arial"/>
          <w:b w:val="false"/>
          <w:bCs w:val="false"/>
          <w:color w:val="000000"/>
          <w:sz w:val="22"/>
          <w:szCs w:val="22"/>
        </w:rPr>
        <w:t xml:space="preserve">Shared infrastructure reduces total development cost compared to building three independent platforms</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Platform Overview</w:t>
      </w:r>
    </w:p>
    <w:p>
      <w:pPr>
        <w:spacing w:after="60" w:before="60"/>
      </w:pPr>
      <w:r>
        <w:rPr>
          <w:rFonts w:ascii="Arial" w:cs="Arial" w:eastAsia="Arial" w:hAnsi="Arial"/>
          <w:color w:val="000000"/>
          <w:sz w:val="22"/>
          <w:szCs w:val="22"/>
        </w:rPr>
        <w:t xml:space="preserve">All three tools are delivered as web-based applications on a shared platform. They share a common backend API, authentication layer, and AI engine, with each tool operating as a distinct module with its own data sources, user workflows, and output types.</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The Three Tools</w:t>
      </w:r>
    </w:p>
    <w:p>
      <w:pPr>
        <w:pStyle w:val="ListParagraph"/>
        <w:numPr>
          <w:ilvl w:val="0"/>
          <w:numId w:val="2"/>
        </w:numPr>
        <w:spacing w:after="60" w:before="60"/>
      </w:pPr>
      <w:r>
        <w:rPr>
          <w:rFonts w:ascii="Arial" w:cs="Arial" w:eastAsia="Arial" w:hAnsi="Arial"/>
          <w:b w:val="false"/>
          <w:bCs w:val="false"/>
          <w:color w:val="000000"/>
          <w:sz w:val="22"/>
          <w:szCs w:val="22"/>
        </w:rPr>
        <w:t xml:space="preserve">PanelIQ — Strategic intelligence platform for panel monitoring and decision-making</w:t>
      </w:r>
    </w:p>
    <w:p>
      <w:pPr>
        <w:pStyle w:val="ListParagraph"/>
        <w:numPr>
          <w:ilvl w:val="0"/>
          <w:numId w:val="2"/>
        </w:numPr>
        <w:spacing w:after="60" w:before="60"/>
      </w:pPr>
      <w:r>
        <w:rPr>
          <w:rFonts w:ascii="Arial" w:cs="Arial" w:eastAsia="Arial" w:hAnsi="Arial"/>
          <w:b w:val="false"/>
          <w:bCs w:val="false"/>
          <w:color w:val="000000"/>
          <w:sz w:val="22"/>
          <w:szCs w:val="22"/>
        </w:rPr>
        <w:t xml:space="preserve">BrandScope — AI-powered brand research and methodology planning assistant</w:t>
      </w:r>
    </w:p>
    <w:p>
      <w:pPr>
        <w:pStyle w:val="ListParagraph"/>
        <w:numPr>
          <w:ilvl w:val="0"/>
          <w:numId w:val="2"/>
        </w:numPr>
        <w:spacing w:after="60" w:before="60"/>
      </w:pPr>
      <w:r>
        <w:rPr>
          <w:rFonts w:ascii="Arial" w:cs="Arial" w:eastAsia="Arial" w:hAnsi="Arial"/>
          <w:b w:val="false"/>
          <w:bCs w:val="false"/>
          <w:color w:val="000000"/>
          <w:sz w:val="22"/>
          <w:szCs w:val="22"/>
        </w:rPr>
        <w:t xml:space="preserve">BidSense — Proposal generation assistant grounded in client and engagement history</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User Roles</w:t>
      </w:r>
    </w:p>
    <w:p>
      <w:pPr>
        <w:spacing w:after="60" w:before="60"/>
      </w:pPr>
      <w:r>
        <w:rPr>
          <w:rFonts w:ascii="Arial" w:cs="Arial" w:eastAsia="Arial" w:hAnsi="Arial"/>
          <w:color w:val="000000"/>
          <w:sz w:val="22"/>
          <w:szCs w:val="22"/>
        </w:rPr>
        <w:t xml:space="preserve">Access is controlled by role across all three tools. Role permissions are configured per tool, allowing a Researcher to access the BrandScope without seeing RFP data, for example.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6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Capabilities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Super Admin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system access — all users, all projects, system settings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Manager</w:t>
            </w:r>
          </w:p>
        </w:tc>
        <w:tc>
          <w:tcPr>
            <w:tcW w:type="dxa" w:w="6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 projects, configure tools, view all outputs and history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Researcher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 assigned projects, run brand research queries, view own history</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RFP Analyst</w:t>
            </w:r>
          </w:p>
        </w:tc>
        <w:tc>
          <w:tcPr>
            <w:tcW w:type="dxa" w:w="6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 RFP tool, view client history, generate proposals</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PanelIQ — Strategic Intelligence Platform</w:t>
      </w:r>
    </w:p>
    <w:p>
      <w:pPr>
        <w:pStyle w:val="Heading2"/>
        <w:spacing w:after="140" w:before="280"/>
      </w:pPr>
      <w:r>
        <w:rPr>
          <w:rFonts w:ascii="Arial" w:cs="Arial" w:eastAsia="Arial" w:hAnsi="Arial"/>
          <w:b/>
          <w:bCs/>
          <w:color w:val="2E75B6"/>
          <w:sz w:val="26"/>
          <w:szCs w:val="26"/>
        </w:rPr>
        <w:t xml:space="preserve">3.1 Overview</w:t>
      </w:r>
    </w:p>
    <w:p>
      <w:pPr>
        <w:spacing w:after="60" w:before="60"/>
      </w:pPr>
      <w:r>
        <w:rPr>
          <w:rFonts w:ascii="Arial" w:cs="Arial" w:eastAsia="Arial" w:hAnsi="Arial"/>
          <w:color w:val="000000"/>
          <w:sz w:val="22"/>
          <w:szCs w:val="22"/>
        </w:rPr>
        <w:t xml:space="preserve">PanelIQ is an AI-powered web platform that gives leadership, engagement managers, and finance teams instant, self-service access to panel intelligence. Instead of waiting for manually produced SSRS reports or requesting Tableau dashboard changes, users ask questions in plain English and receive data-backed answers, summaries, and automated alerts — in seconds.</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3.2 Current Challenges</w:t>
      </w:r>
    </w:p>
    <w:p>
      <w:pPr>
        <w:pStyle w:val="ListParagraph"/>
        <w:numPr>
          <w:ilvl w:val="0"/>
          <w:numId w:val="2"/>
        </w:numPr>
        <w:spacing w:after="60" w:before="60"/>
      </w:pPr>
      <w:r>
        <w:rPr>
          <w:rFonts w:ascii="Arial" w:cs="Arial" w:eastAsia="Arial" w:hAnsi="Arial"/>
          <w:b w:val="false"/>
          <w:bCs w:val="false"/>
          <w:color w:val="000000"/>
          <w:sz w:val="22"/>
          <w:szCs w:val="22"/>
        </w:rPr>
        <w:t xml:space="preserve">Leadership relies on manually shared data — no real-time self-service access</w:t>
      </w:r>
    </w:p>
    <w:p>
      <w:pPr>
        <w:pStyle w:val="ListParagraph"/>
        <w:numPr>
          <w:ilvl w:val="0"/>
          <w:numId w:val="2"/>
        </w:numPr>
        <w:spacing w:after="60" w:before="60"/>
      </w:pPr>
      <w:r>
        <w:rPr>
          <w:rFonts w:ascii="Arial" w:cs="Arial" w:eastAsia="Arial" w:hAnsi="Arial"/>
          <w:b w:val="false"/>
          <w:bCs w:val="false"/>
          <w:color w:val="000000"/>
          <w:sz w:val="22"/>
          <w:szCs w:val="22"/>
        </w:rPr>
        <w:t xml:space="preserve">SSRS reports and Tableau dashboards are fixed-format — they cannot answer ad-hoc questions</w:t>
      </w:r>
    </w:p>
    <w:p>
      <w:pPr>
        <w:pStyle w:val="ListParagraph"/>
        <w:numPr>
          <w:ilvl w:val="0"/>
          <w:numId w:val="2"/>
        </w:numPr>
        <w:spacing w:after="60" w:before="60"/>
      </w:pPr>
      <w:r>
        <w:rPr>
          <w:rFonts w:ascii="Arial" w:cs="Arial" w:eastAsia="Arial" w:hAnsi="Arial"/>
          <w:b w:val="false"/>
          <w:bCs w:val="false"/>
          <w:color w:val="000000"/>
          <w:sz w:val="22"/>
          <w:szCs w:val="22"/>
        </w:rPr>
        <w:t xml:space="preserve">Every new monitoring view requires manual development effort</w:t>
      </w:r>
    </w:p>
    <w:p>
      <w:pPr>
        <w:pStyle w:val="ListParagraph"/>
        <w:numPr>
          <w:ilvl w:val="0"/>
          <w:numId w:val="2"/>
        </w:numPr>
        <w:spacing w:after="60" w:before="60"/>
      </w:pPr>
      <w:r>
        <w:rPr>
          <w:rFonts w:ascii="Arial" w:cs="Arial" w:eastAsia="Arial" w:hAnsi="Arial"/>
          <w:b w:val="false"/>
          <w:bCs w:val="false"/>
          <w:color w:val="000000"/>
          <w:sz w:val="22"/>
          <w:szCs w:val="22"/>
        </w:rPr>
        <w:t xml:space="preserve">No automated alerting for critical events — fraud spikes, CPI breaches, and engagement drops go undetected until reviewed manually</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3.3 How It Works</w:t>
      </w:r>
    </w:p>
    <w:p>
      <w:pPr>
        <w:spacing w:after="60" w:before="60"/>
      </w:pPr>
      <w:r>
        <w:rPr>
          <w:rFonts w:ascii="Arial" w:cs="Arial" w:eastAsia="Arial" w:hAnsi="Arial"/>
          <w:color w:val="000000"/>
          <w:sz w:val="22"/>
          <w:szCs w:val="22"/>
        </w:rPr>
        <w:t xml:space="preserve">PanelIQ connects directly to existing SQL Server data sources — the same data that powers SSRS reports and Tableau dashboards today. Once connected, it becomes a conversational layer on top of all panel data.</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000000"/>
          <w:sz w:val="22"/>
          <w:szCs w:val="22"/>
        </w:rPr>
        <w:t xml:space="preserve">User types a question in plain English (e.g. "Which vendors have exceeded CPI threshold this month?")</w:t>
      </w:r>
    </w:p>
    <w:p>
      <w:pPr>
        <w:pStyle w:val="ListParagraph"/>
        <w:numPr>
          <w:ilvl w:val="0"/>
          <w:numId w:val="2"/>
        </w:numPr>
        <w:spacing w:after="60" w:before="60"/>
      </w:pPr>
      <w:r>
        <w:rPr>
          <w:rFonts w:ascii="Arial" w:cs="Arial" w:eastAsia="Arial" w:hAnsi="Arial"/>
          <w:b w:val="false"/>
          <w:bCs w:val="false"/>
          <w:color w:val="000000"/>
          <w:sz w:val="22"/>
          <w:szCs w:val="22"/>
        </w:rPr>
        <w:t xml:space="preserve">Claude AI identifies the relevant data tables and business rules</w:t>
      </w:r>
    </w:p>
    <w:p>
      <w:pPr>
        <w:pStyle w:val="ListParagraph"/>
        <w:numPr>
          <w:ilvl w:val="0"/>
          <w:numId w:val="2"/>
        </w:numPr>
        <w:spacing w:after="60" w:before="60"/>
      </w:pPr>
      <w:r>
        <w:rPr>
          <w:rFonts w:ascii="Arial" w:cs="Arial" w:eastAsia="Arial" w:hAnsi="Arial"/>
          <w:b w:val="false"/>
          <w:bCs w:val="false"/>
          <w:color w:val="000000"/>
          <w:sz w:val="22"/>
          <w:szCs w:val="22"/>
        </w:rPr>
        <w:t xml:space="preserve">The appropriate query is run on the connected data source</w:t>
      </w:r>
    </w:p>
    <w:p>
      <w:pPr>
        <w:pStyle w:val="ListParagraph"/>
        <w:numPr>
          <w:ilvl w:val="0"/>
          <w:numId w:val="2"/>
        </w:numPr>
        <w:spacing w:after="60" w:before="60"/>
      </w:pPr>
      <w:r>
        <w:rPr>
          <w:rFonts w:ascii="Arial" w:cs="Arial" w:eastAsia="Arial" w:hAnsi="Arial"/>
          <w:b w:val="false"/>
          <w:bCs w:val="false"/>
          <w:color w:val="000000"/>
          <w:sz w:val="22"/>
          <w:szCs w:val="22"/>
        </w:rPr>
        <w:t xml:space="preserve">Claude returns a narrative summary, data table, and chart where applicable</w:t>
      </w:r>
    </w:p>
    <w:p>
      <w:pPr>
        <w:pStyle w:val="ListParagraph"/>
        <w:numPr>
          <w:ilvl w:val="0"/>
          <w:numId w:val="2"/>
        </w:numPr>
        <w:spacing w:after="60" w:before="60"/>
      </w:pPr>
      <w:r>
        <w:rPr>
          <w:rFonts w:ascii="Arial" w:cs="Arial" w:eastAsia="Arial" w:hAnsi="Arial"/>
          <w:b w:val="false"/>
          <w:bCs w:val="false"/>
          <w:color w:val="000000"/>
          <w:sz w:val="22"/>
          <w:szCs w:val="22"/>
        </w:rPr>
        <w:t xml:space="preserve">Automated alerts fire via email and Microsoft Teams when configured thresholds are breached</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3.4 Supported Query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Query Type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w:t>
            </w:r>
          </w:p>
        </w:tc>
        <w:tc>
          <w:tcPr>
            <w:tcW w:type="dxa" w:w="3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Output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 Health</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is the active member count this month?</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Count + trend chart</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Engagement Metrics</w:t>
            </w:r>
          </w:p>
        </w:tc>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is the avg survey completion rate by region?</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Bar chart with breakdown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Cost &amp; CPI Analysis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Which vendor has exceeded CPI threshold this quarter?</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Table with alert flags</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Fraud Detection</w:t>
            </w:r>
          </w:p>
        </w:tc>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Show me projects with client reject rates above 10%</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Flagged list + details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Tracking</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projects are running behind schedule this week?</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Status table with dates</w:t>
            </w:r>
          </w:p>
        </w:tc>
      </w:tr>
    </w:tbl>
    <w:p>
      <w:pPr>
        <w:spacing w:after="60" w:before="60"/>
      </w:pPr>
      <w:r>
        <w:t xml:space="preserve"/>
      </w:r>
    </w:p>
    <w:p>
      <w:pPr>
        <w:pStyle w:val="Heading2"/>
        <w:spacing w:after="140" w:before="280"/>
      </w:pPr>
      <w:r>
        <w:rPr>
          <w:rFonts w:ascii="Arial" w:cs="Arial" w:eastAsia="Arial" w:hAnsi="Arial"/>
          <w:b/>
          <w:bCs/>
          <w:color w:val="2E75B6"/>
          <w:sz w:val="26"/>
          <w:szCs w:val="26"/>
        </w:rPr>
        <w:t xml:space="preserve">3.5 Automated Alerts</w:t>
      </w:r>
    </w:p>
    <w:p>
      <w:pPr>
        <w:spacing w:after="60" w:before="60"/>
      </w:pPr>
      <w:r>
        <w:rPr>
          <w:rFonts w:ascii="Arial" w:cs="Arial" w:eastAsia="Arial" w:hAnsi="Arial"/>
          <w:color w:val="000000"/>
          <w:sz w:val="22"/>
          <w:szCs w:val="22"/>
        </w:rPr>
        <w:t xml:space="preserve">PanelIQ includes a configurable alerting engine that monitors key metrics continuously and notifies relevant teams without manual intervention. Alerts are delivered via email and Microsoft Teams.</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000000"/>
          <w:sz w:val="22"/>
          <w:szCs w:val="22"/>
        </w:rPr>
        <w:t xml:space="preserve">Vendor CPI or cost exceeds defined threshold</w:t>
      </w:r>
    </w:p>
    <w:p>
      <w:pPr>
        <w:pStyle w:val="ListParagraph"/>
        <w:numPr>
          <w:ilvl w:val="0"/>
          <w:numId w:val="2"/>
        </w:numPr>
        <w:spacing w:after="60" w:before="60"/>
      </w:pPr>
      <w:r>
        <w:rPr>
          <w:rFonts w:ascii="Arial" w:cs="Arial" w:eastAsia="Arial" w:hAnsi="Arial"/>
          <w:b w:val="false"/>
          <w:bCs w:val="false"/>
          <w:color w:val="000000"/>
          <w:sz w:val="22"/>
          <w:szCs w:val="22"/>
        </w:rPr>
        <w:t xml:space="preserve">Client reject rate exceeds acceptable level on any project</w:t>
      </w:r>
    </w:p>
    <w:p>
      <w:pPr>
        <w:pStyle w:val="ListParagraph"/>
        <w:numPr>
          <w:ilvl w:val="0"/>
          <w:numId w:val="2"/>
        </w:numPr>
        <w:spacing w:after="60" w:before="60"/>
      </w:pPr>
      <w:r>
        <w:rPr>
          <w:rFonts w:ascii="Arial" w:cs="Arial" w:eastAsia="Arial" w:hAnsi="Arial"/>
          <w:b w:val="false"/>
          <w:bCs w:val="false"/>
          <w:color w:val="000000"/>
          <w:sz w:val="22"/>
          <w:szCs w:val="22"/>
        </w:rPr>
        <w:t xml:space="preserve">Panel engagement or survey completion rate drops below target</w:t>
      </w:r>
    </w:p>
    <w:p>
      <w:pPr>
        <w:pStyle w:val="ListParagraph"/>
        <w:numPr>
          <w:ilvl w:val="0"/>
          <w:numId w:val="2"/>
        </w:numPr>
        <w:spacing w:after="60" w:before="60"/>
      </w:pPr>
      <w:r>
        <w:rPr>
          <w:rFonts w:ascii="Arial" w:cs="Arial" w:eastAsia="Arial" w:hAnsi="Arial"/>
          <w:b w:val="false"/>
          <w:bCs w:val="false"/>
          <w:color w:val="000000"/>
          <w:sz w:val="22"/>
          <w:szCs w:val="22"/>
        </w:rPr>
        <w:t xml:space="preserve">Fraud indicators detected across a project or vendor</w:t>
      </w:r>
    </w:p>
    <w:p>
      <w:pPr>
        <w:pStyle w:val="ListParagraph"/>
        <w:numPr>
          <w:ilvl w:val="0"/>
          <w:numId w:val="2"/>
        </w:numPr>
        <w:spacing w:after="60" w:before="60"/>
      </w:pPr>
      <w:r>
        <w:rPr>
          <w:rFonts w:ascii="Arial" w:cs="Arial" w:eastAsia="Arial" w:hAnsi="Arial"/>
          <w:b w:val="false"/>
          <w:bCs w:val="false"/>
          <w:color w:val="000000"/>
          <w:sz w:val="22"/>
          <w:szCs w:val="22"/>
        </w:rPr>
        <w:t xml:space="preserve">Project milestone or fieldwork deadline at risk</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3.6 Target Audience</w:t>
      </w:r>
    </w:p>
    <w:p>
      <w:pPr>
        <w:pStyle w:val="ListParagraph"/>
        <w:numPr>
          <w:ilvl w:val="0"/>
          <w:numId w:val="2"/>
        </w:numPr>
        <w:spacing w:after="60" w:before="60"/>
      </w:pPr>
      <w:r>
        <w:rPr>
          <w:rFonts w:ascii="Arial" w:cs="Arial" w:eastAsia="Arial" w:hAnsi="Arial"/>
          <w:b w:val="false"/>
          <w:bCs w:val="false"/>
          <w:color w:val="000000"/>
          <w:sz w:val="22"/>
          <w:szCs w:val="22"/>
        </w:rPr>
        <w:t xml:space="preserve">Leadership — panel health, financial performance, strategic decisions</w:t>
      </w:r>
    </w:p>
    <w:p>
      <w:pPr>
        <w:pStyle w:val="ListParagraph"/>
        <w:numPr>
          <w:ilvl w:val="0"/>
          <w:numId w:val="2"/>
        </w:numPr>
        <w:spacing w:after="60" w:before="60"/>
      </w:pPr>
      <w:r>
        <w:rPr>
          <w:rFonts w:ascii="Arial" w:cs="Arial" w:eastAsia="Arial" w:hAnsi="Arial"/>
          <w:b w:val="false"/>
          <w:bCs w:val="false"/>
          <w:color w:val="000000"/>
          <w:sz w:val="22"/>
          <w:szCs w:val="22"/>
        </w:rPr>
        <w:t xml:space="preserve">Engagement Managers — member engagement, survey completion, incentive performance</w:t>
      </w:r>
    </w:p>
    <w:p>
      <w:pPr>
        <w:pStyle w:val="ListParagraph"/>
        <w:numPr>
          <w:ilvl w:val="0"/>
          <w:numId w:val="2"/>
        </w:numPr>
        <w:spacing w:after="60" w:before="60"/>
      </w:pPr>
      <w:r>
        <w:rPr>
          <w:rFonts w:ascii="Arial" w:cs="Arial" w:eastAsia="Arial" w:hAnsi="Arial"/>
          <w:b w:val="false"/>
          <w:bCs w:val="false"/>
          <w:color w:val="000000"/>
          <w:sz w:val="22"/>
          <w:szCs w:val="22"/>
        </w:rPr>
        <w:t xml:space="preserve">Brand Managers — panel sentiment, brand-specific KPIs</w:t>
      </w:r>
    </w:p>
    <w:p>
      <w:pPr>
        <w:pStyle w:val="ListParagraph"/>
        <w:numPr>
          <w:ilvl w:val="0"/>
          <w:numId w:val="2"/>
        </w:numPr>
        <w:spacing w:after="60" w:before="60"/>
      </w:pPr>
      <w:r>
        <w:rPr>
          <w:rFonts w:ascii="Arial" w:cs="Arial" w:eastAsia="Arial" w:hAnsi="Arial"/>
          <w:b w:val="false"/>
          <w:bCs w:val="false"/>
          <w:color w:val="000000"/>
          <w:sz w:val="22"/>
          <w:szCs w:val="22"/>
        </w:rPr>
        <w:t xml:space="preserve">Business Unit Leads — project-level tracking and cross-BU performance</w:t>
      </w:r>
    </w:p>
    <w:p>
      <w:pPr>
        <w:pStyle w:val="ListParagraph"/>
        <w:numPr>
          <w:ilvl w:val="0"/>
          <w:numId w:val="2"/>
        </w:numPr>
        <w:spacing w:after="60" w:before="60"/>
      </w:pPr>
      <w:r>
        <w:rPr>
          <w:rFonts w:ascii="Arial" w:cs="Arial" w:eastAsia="Arial" w:hAnsi="Arial"/>
          <w:b w:val="false"/>
          <w:bCs w:val="false"/>
          <w:color w:val="000000"/>
          <w:sz w:val="22"/>
          <w:szCs w:val="22"/>
        </w:rPr>
        <w:t xml:space="preserve">Finance — cost per complete, vendor spend, budget adherence</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3.7 Build Status &amp; Roadmap</w:t>
      </w:r>
    </w:p>
    <w:p>
      <w:pPr>
        <w:pStyle w:val="ListParagraph"/>
        <w:numPr>
          <w:ilvl w:val="0"/>
          <w:numId w:val="2"/>
        </w:numPr>
        <w:spacing w:after="60" w:before="60"/>
      </w:pPr>
      <w:r>
        <w:rPr>
          <w:rFonts w:ascii="Arial" w:cs="Arial" w:eastAsia="Arial" w:hAnsi="Arial"/>
          <w:b/>
          <w:bCs/>
          <w:color w:val="000000"/>
          <w:sz w:val="22"/>
          <w:szCs w:val="22"/>
        </w:rPr>
        <w:t xml:space="preserve">POC: Ready to present — dynamic Q&amp;A on sample panel data, with sample questions displayed</w:t>
      </w:r>
    </w:p>
    <w:p>
      <w:pPr>
        <w:pStyle w:val="ListParagraph"/>
        <w:numPr>
          <w:ilvl w:val="0"/>
          <w:numId w:val="2"/>
        </w:numPr>
        <w:spacing w:after="60" w:before="60"/>
      </w:pPr>
      <w:r>
        <w:rPr>
          <w:rFonts w:ascii="Arial" w:cs="Arial" w:eastAsia="Arial" w:hAnsi="Arial"/>
          <w:b w:val="false"/>
          <w:bCs w:val="false"/>
          <w:color w:val="000000"/>
          <w:sz w:val="22"/>
          <w:szCs w:val="22"/>
        </w:rPr>
        <w:t xml:space="preserve">Current response time: 20–30 seconds per query (will be optimised in full build)</w:t>
      </w:r>
    </w:p>
    <w:p>
      <w:pPr>
        <w:pStyle w:val="ListParagraph"/>
        <w:numPr>
          <w:ilvl w:val="0"/>
          <w:numId w:val="2"/>
        </w:numPr>
        <w:spacing w:after="60" w:before="60"/>
      </w:pPr>
      <w:r>
        <w:rPr>
          <w:rFonts w:ascii="Arial" w:cs="Arial" w:eastAsia="Arial" w:hAnsi="Arial"/>
          <w:b w:val="false"/>
          <w:bCs w:val="false"/>
          <w:color w:val="000000"/>
          <w:sz w:val="22"/>
          <w:szCs w:val="22"/>
        </w:rPr>
        <w:t xml:space="preserve">Phase 1 (Panel Engagement &amp; Performance): 4–5 months</w:t>
      </w:r>
    </w:p>
    <w:p>
      <w:pPr>
        <w:pStyle w:val="ListParagraph"/>
        <w:numPr>
          <w:ilvl w:val="0"/>
          <w:numId w:val="2"/>
        </w:numPr>
        <w:spacing w:after="60" w:before="60"/>
      </w:pPr>
      <w:r>
        <w:rPr>
          <w:rFonts w:ascii="Arial" w:cs="Arial" w:eastAsia="Arial" w:hAnsi="Arial"/>
          <w:b w:val="false"/>
          <w:bCs w:val="false"/>
          <w:color w:val="000000"/>
          <w:sz w:val="22"/>
          <w:szCs w:val="22"/>
        </w:rPr>
        <w:t xml:space="preserve">Phase 2 (Project Tracking): 2–3 months, built after Phase 1 user feedback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80"/>
        <w:gridCol w:w="2280"/>
      </w:tblGrid>
      <w:tr>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Phase</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Scope</w:t>
            </w:r>
          </w:p>
        </w:tc>
        <w:tc>
          <w:tcPr>
            <w:tcW w:type="dxa" w:w="18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 Duration</w:t>
            </w:r>
          </w:p>
        </w:tc>
        <w:tc>
          <w:tcPr>
            <w:tcW w:type="dxa" w:w="22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Cumulative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POC / Demo</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AI chatbot on sample panel data. Demonstrates dynamic Q&amp;A and sample questions. For management sign-off.</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weeks</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3</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1 — Panel Engagement &amp; Performance</w:t>
            </w:r>
          </w:p>
        </w:tc>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panel health, engagement, fraud, cost monitoring. Role-based access. Alerts via email and Teams.</w:t>
            </w:r>
          </w:p>
        </w:tc>
        <w:tc>
          <w:tcPr>
            <w:tcW w:type="dxa" w:w="18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 months</w:t>
            </w:r>
          </w:p>
        </w:tc>
        <w:tc>
          <w:tcPr>
            <w:tcW w:type="dxa" w:w="2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6</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Phase 2 — Project Tracking</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project status, fieldwork tracking, milestone monitoring, deadline alerts.</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months</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9</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UAT &amp; Stabilisation</w:t>
            </w:r>
          </w:p>
        </w:tc>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acceptance testing with internal teams. Bug fixes and refinements.</w:t>
            </w:r>
          </w:p>
        </w:tc>
        <w:tc>
          <w:tcPr>
            <w:tcW w:type="dxa" w:w="18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weeks</w:t>
            </w:r>
          </w:p>
        </w:tc>
        <w:tc>
          <w:tcPr>
            <w:tcW w:type="dxa" w:w="2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10</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BrandScope — AI-Powered Brand Research Assistant</w:t>
      </w:r>
    </w:p>
    <w:p>
      <w:pPr>
        <w:pStyle w:val="Heading2"/>
        <w:spacing w:after="140" w:before="280"/>
      </w:pPr>
      <w:r>
        <w:rPr>
          <w:rFonts w:ascii="Arial" w:cs="Arial" w:eastAsia="Arial" w:hAnsi="Arial"/>
          <w:b/>
          <w:bCs/>
          <w:color w:val="2E75B6"/>
          <w:sz w:val="26"/>
          <w:szCs w:val="26"/>
        </w:rPr>
        <w:t xml:space="preserve">4.1 Overview</w:t>
      </w:r>
    </w:p>
    <w:p>
      <w:pPr>
        <w:spacing w:after="60" w:before="60"/>
      </w:pPr>
      <w:r>
        <w:rPr>
          <w:rFonts w:ascii="Arial" w:cs="Arial" w:eastAsia="Arial" w:hAnsi="Arial"/>
          <w:color w:val="000000"/>
          <w:sz w:val="22"/>
          <w:szCs w:val="22"/>
        </w:rPr>
        <w:t xml:space="preserve">The BrandScope gives researchers instant, AI-generated brand intelligence to replace manual desk research. When a researcher needs to understand a brand before designing a study, they currently spend significant time searching across multiple sources — news, market reports, social media, and review platforms — before they can even begin scoping the project.</w:t>
      </w:r>
    </w:p>
    <w:p>
      <w:pPr>
        <w:spacing w:after="60" w:before="60"/>
      </w:pPr>
      <w:r>
        <w:t xml:space="preserve"/>
      </w:r>
    </w:p>
    <w:p>
      <w:pPr>
        <w:spacing w:after="60" w:before="60"/>
      </w:pPr>
      <w:r>
        <w:rPr>
          <w:rFonts w:ascii="Arial" w:cs="Arial" w:eastAsia="Arial" w:hAnsi="Arial"/>
          <w:color w:val="000000"/>
          <w:sz w:val="22"/>
          <w:szCs w:val="22"/>
        </w:rPr>
        <w:t xml:space="preserve">The BrandScope consolidates this process into a single, conversational interface. In one query, a researcher receives a comprehensive brand brief covering market position, latest trends, user sentiment, and a recommended research methodology — ready to inform survey design or client conversations.</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4.2 Current Challenges</w:t>
      </w:r>
    </w:p>
    <w:p>
      <w:pPr>
        <w:pStyle w:val="ListParagraph"/>
        <w:numPr>
          <w:ilvl w:val="0"/>
          <w:numId w:val="2"/>
        </w:numPr>
        <w:spacing w:after="60" w:before="60"/>
      </w:pPr>
      <w:r>
        <w:rPr>
          <w:rFonts w:ascii="Arial" w:cs="Arial" w:eastAsia="Arial" w:hAnsi="Arial"/>
          <w:b w:val="false"/>
          <w:bCs w:val="false"/>
          <w:color w:val="000000"/>
          <w:sz w:val="22"/>
          <w:szCs w:val="22"/>
        </w:rPr>
        <w:t xml:space="preserve">Researchers spend hours manually gathering brand intelligence before scoping a study</w:t>
      </w:r>
    </w:p>
    <w:p>
      <w:pPr>
        <w:pStyle w:val="ListParagraph"/>
        <w:numPr>
          <w:ilvl w:val="0"/>
          <w:numId w:val="2"/>
        </w:numPr>
        <w:spacing w:after="60" w:before="60"/>
      </w:pPr>
      <w:r>
        <w:rPr>
          <w:rFonts w:ascii="Arial" w:cs="Arial" w:eastAsia="Arial" w:hAnsi="Arial"/>
          <w:b w:val="false"/>
          <w:bCs w:val="false"/>
          <w:color w:val="000000"/>
          <w:sz w:val="22"/>
          <w:szCs w:val="22"/>
        </w:rPr>
        <w:t xml:space="preserve">No single source of truth — information is scattered across Google, trade publications, and review platforms</w:t>
      </w:r>
    </w:p>
    <w:p>
      <w:pPr>
        <w:pStyle w:val="ListParagraph"/>
        <w:numPr>
          <w:ilvl w:val="0"/>
          <w:numId w:val="2"/>
        </w:numPr>
        <w:spacing w:after="60" w:before="60"/>
      </w:pPr>
      <w:r>
        <w:rPr>
          <w:rFonts w:ascii="Arial" w:cs="Arial" w:eastAsia="Arial" w:hAnsi="Arial"/>
          <w:b w:val="false"/>
          <w:bCs w:val="false"/>
          <w:color w:val="000000"/>
          <w:sz w:val="22"/>
          <w:szCs w:val="22"/>
        </w:rPr>
        <w:t xml:space="preserve">Research methodology decisions rely on individual experience with no structured guidance</w:t>
      </w:r>
    </w:p>
    <w:p>
      <w:pPr>
        <w:pStyle w:val="ListParagraph"/>
        <w:numPr>
          <w:ilvl w:val="0"/>
          <w:numId w:val="2"/>
        </w:numPr>
        <w:spacing w:after="60" w:before="60"/>
      </w:pPr>
      <w:r>
        <w:rPr>
          <w:rFonts w:ascii="Arial" w:cs="Arial" w:eastAsia="Arial" w:hAnsi="Arial"/>
          <w:b w:val="false"/>
          <w:bCs w:val="false"/>
          <w:color w:val="000000"/>
          <w:sz w:val="22"/>
          <w:szCs w:val="22"/>
        </w:rPr>
        <w:t xml:space="preserve">Inconsistent depth of desk research across team members and projects</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4.3 How It Works</w:t>
      </w:r>
    </w:p>
    <w:p>
      <w:pPr>
        <w:spacing w:after="60" w:before="60"/>
      </w:pPr>
      <w:r>
        <w:rPr>
          <w:rFonts w:ascii="Arial" w:cs="Arial" w:eastAsia="Arial" w:hAnsi="Arial"/>
          <w:color w:val="000000"/>
          <w:sz w:val="22"/>
          <w:szCs w:val="22"/>
        </w:rPr>
        <w:t xml:space="preserve">The BrandScope uses Claude's web search capability to retrieve live, up-to-date information about a brand, then synthesises the findings into a structured research brief.</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000000"/>
          <w:sz w:val="22"/>
          <w:szCs w:val="22"/>
        </w:rPr>
        <w:t xml:space="preserve">Researcher enters a brand name and optional context (e.g. sector, geography, objective)</w:t>
      </w:r>
    </w:p>
    <w:p>
      <w:pPr>
        <w:pStyle w:val="ListParagraph"/>
        <w:numPr>
          <w:ilvl w:val="0"/>
          <w:numId w:val="2"/>
        </w:numPr>
        <w:spacing w:after="60" w:before="60"/>
      </w:pPr>
      <w:r>
        <w:rPr>
          <w:rFonts w:ascii="Arial" w:cs="Arial" w:eastAsia="Arial" w:hAnsi="Arial"/>
          <w:b w:val="false"/>
          <w:bCs w:val="false"/>
          <w:color w:val="000000"/>
          <w:sz w:val="22"/>
          <w:szCs w:val="22"/>
        </w:rPr>
        <w:t xml:space="preserve">Claude searches the web for brand positioning, market data, news, and user reviews</w:t>
      </w:r>
    </w:p>
    <w:p>
      <w:pPr>
        <w:pStyle w:val="ListParagraph"/>
        <w:numPr>
          <w:ilvl w:val="0"/>
          <w:numId w:val="2"/>
        </w:numPr>
        <w:spacing w:after="60" w:before="60"/>
      </w:pPr>
      <w:r>
        <w:rPr>
          <w:rFonts w:ascii="Arial" w:cs="Arial" w:eastAsia="Arial" w:hAnsi="Arial"/>
          <w:b w:val="false"/>
          <w:bCs w:val="false"/>
          <w:color w:val="000000"/>
          <w:sz w:val="22"/>
          <w:szCs w:val="22"/>
        </w:rPr>
        <w:t xml:space="preserve">AI synthesises findings into a structured brief: positioning, trends, sentiment, and audience profile</w:t>
      </w:r>
    </w:p>
    <w:p>
      <w:pPr>
        <w:pStyle w:val="ListParagraph"/>
        <w:numPr>
          <w:ilvl w:val="0"/>
          <w:numId w:val="2"/>
        </w:numPr>
        <w:spacing w:after="60" w:before="60"/>
      </w:pPr>
      <w:r>
        <w:rPr>
          <w:rFonts w:ascii="Arial" w:cs="Arial" w:eastAsia="Arial" w:hAnsi="Arial"/>
          <w:b w:val="false"/>
          <w:bCs w:val="false"/>
          <w:color w:val="000000"/>
          <w:sz w:val="22"/>
          <w:szCs w:val="22"/>
        </w:rPr>
        <w:t xml:space="preserve">Claude recommends a research approach — quantitative, qualitative, or mixed — with rationale</w:t>
      </w:r>
    </w:p>
    <w:p>
      <w:pPr>
        <w:pStyle w:val="ListParagraph"/>
        <w:numPr>
          <w:ilvl w:val="0"/>
          <w:numId w:val="2"/>
        </w:numPr>
        <w:spacing w:after="60" w:before="60"/>
      </w:pPr>
      <w:r>
        <w:rPr>
          <w:rFonts w:ascii="Arial" w:cs="Arial" w:eastAsia="Arial" w:hAnsi="Arial"/>
          <w:b w:val="false"/>
          <w:bCs w:val="false"/>
          <w:color w:val="000000"/>
          <w:sz w:val="22"/>
          <w:szCs w:val="22"/>
        </w:rPr>
        <w:t xml:space="preserve">Researcher can follow up with specific questions or request a deeper dive on any section</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4.4 Key Output Sections</w:t>
      </w:r>
    </w:p>
    <w:p>
      <w:pPr>
        <w:pStyle w:val="ListParagraph"/>
        <w:numPr>
          <w:ilvl w:val="0"/>
          <w:numId w:val="2"/>
        </w:numPr>
        <w:spacing w:after="60" w:before="60"/>
      </w:pPr>
      <w:r>
        <w:rPr>
          <w:rFonts w:ascii="Arial" w:cs="Arial" w:eastAsia="Arial" w:hAnsi="Arial"/>
          <w:b w:val="false"/>
          <w:bCs w:val="false"/>
          <w:color w:val="000000"/>
          <w:sz w:val="22"/>
          <w:szCs w:val="22"/>
        </w:rPr>
        <w:t xml:space="preserve">Brand Overview — company profile, market position, key competitors</w:t>
      </w:r>
    </w:p>
    <w:p>
      <w:pPr>
        <w:pStyle w:val="ListParagraph"/>
        <w:numPr>
          <w:ilvl w:val="0"/>
          <w:numId w:val="2"/>
        </w:numPr>
        <w:spacing w:after="60" w:before="60"/>
      </w:pPr>
      <w:r>
        <w:rPr>
          <w:rFonts w:ascii="Arial" w:cs="Arial" w:eastAsia="Arial" w:hAnsi="Arial"/>
          <w:b w:val="false"/>
          <w:bCs w:val="false"/>
          <w:color w:val="000000"/>
          <w:sz w:val="22"/>
          <w:szCs w:val="22"/>
        </w:rPr>
        <w:t xml:space="preserve">Market Trends — sector trends, growth indicators, consumer behaviour shifts</w:t>
      </w:r>
    </w:p>
    <w:p>
      <w:pPr>
        <w:pStyle w:val="ListParagraph"/>
        <w:numPr>
          <w:ilvl w:val="0"/>
          <w:numId w:val="2"/>
        </w:numPr>
        <w:spacing w:after="60" w:before="60"/>
      </w:pPr>
      <w:r>
        <w:rPr>
          <w:rFonts w:ascii="Arial" w:cs="Arial" w:eastAsia="Arial" w:hAnsi="Arial"/>
          <w:b w:val="false"/>
          <w:bCs w:val="false"/>
          <w:color w:val="000000"/>
          <w:sz w:val="22"/>
          <w:szCs w:val="22"/>
        </w:rPr>
        <w:t xml:space="preserve">User Sentiment &amp; Reviews — aggregated sentiment from online reviews and social data</w:t>
      </w:r>
    </w:p>
    <w:p>
      <w:pPr>
        <w:pStyle w:val="ListParagraph"/>
        <w:numPr>
          <w:ilvl w:val="0"/>
          <w:numId w:val="2"/>
        </w:numPr>
        <w:spacing w:after="60" w:before="60"/>
      </w:pPr>
      <w:r>
        <w:rPr>
          <w:rFonts w:ascii="Arial" w:cs="Arial" w:eastAsia="Arial" w:hAnsi="Arial"/>
          <w:b w:val="false"/>
          <w:bCs w:val="false"/>
          <w:color w:val="000000"/>
          <w:sz w:val="22"/>
          <w:szCs w:val="22"/>
        </w:rPr>
        <w:t xml:space="preserve">Audience Profile — core demographics, psychographics, and behavioural characteristics</w:t>
      </w:r>
    </w:p>
    <w:p>
      <w:pPr>
        <w:pStyle w:val="ListParagraph"/>
        <w:numPr>
          <w:ilvl w:val="0"/>
          <w:numId w:val="2"/>
        </w:numPr>
        <w:spacing w:after="60" w:before="60"/>
      </w:pPr>
      <w:r>
        <w:rPr>
          <w:rFonts w:ascii="Arial" w:cs="Arial" w:eastAsia="Arial" w:hAnsi="Arial"/>
          <w:b w:val="false"/>
          <w:bCs w:val="false"/>
          <w:color w:val="000000"/>
          <w:sz w:val="22"/>
          <w:szCs w:val="22"/>
        </w:rPr>
        <w:t xml:space="preserve">Research Methodology Recommendation — suggested approach (online survey / in-depth interviews / focus groups) with rationale based on objectives and audience</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4.5 Research Methodology Guidance</w:t>
      </w:r>
    </w:p>
    <w:p>
      <w:pPr>
        <w:spacing w:after="60" w:before="60"/>
      </w:pPr>
      <w:r>
        <w:rPr>
          <w:rFonts w:ascii="Arial" w:cs="Arial" w:eastAsia="Arial" w:hAnsi="Arial"/>
          <w:color w:val="000000"/>
          <w:sz w:val="22"/>
          <w:szCs w:val="22"/>
        </w:rPr>
        <w:t xml:space="preserve">A distinctive feature of the BrandScope is its ability to recommend the most appropriate research methodology based on the brand's objectives and audience profile. This guidance considers:</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000000"/>
          <w:sz w:val="22"/>
          <w:szCs w:val="22"/>
        </w:rPr>
        <w:t xml:space="preserve">Quantitative online surveys — recommended for large sample, trackable metrics, and benchmark studies</w:t>
      </w:r>
    </w:p>
    <w:p>
      <w:pPr>
        <w:pStyle w:val="ListParagraph"/>
        <w:numPr>
          <w:ilvl w:val="0"/>
          <w:numId w:val="2"/>
        </w:numPr>
        <w:spacing w:after="60" w:before="60"/>
      </w:pPr>
      <w:r>
        <w:rPr>
          <w:rFonts w:ascii="Arial" w:cs="Arial" w:eastAsia="Arial" w:hAnsi="Arial"/>
          <w:b w:val="false"/>
          <w:bCs w:val="false"/>
          <w:color w:val="000000"/>
          <w:sz w:val="22"/>
          <w:szCs w:val="22"/>
        </w:rPr>
        <w:t xml:space="preserve">Qualitative in-depth interviews (IDIs) — recommended for deep understanding of attitudes, motivations, and emerging themes</w:t>
      </w:r>
    </w:p>
    <w:p>
      <w:pPr>
        <w:pStyle w:val="ListParagraph"/>
        <w:numPr>
          <w:ilvl w:val="0"/>
          <w:numId w:val="2"/>
        </w:numPr>
        <w:spacing w:after="60" w:before="60"/>
      </w:pPr>
      <w:r>
        <w:rPr>
          <w:rFonts w:ascii="Arial" w:cs="Arial" w:eastAsia="Arial" w:hAnsi="Arial"/>
          <w:b w:val="false"/>
          <w:bCs w:val="false"/>
          <w:color w:val="000000"/>
          <w:sz w:val="22"/>
          <w:szCs w:val="22"/>
        </w:rPr>
        <w:t xml:space="preserve">Focus groups — recommended for concept testing, creative evaluation, and group dynamics exploration</w:t>
      </w:r>
    </w:p>
    <w:p>
      <w:pPr>
        <w:pStyle w:val="ListParagraph"/>
        <w:numPr>
          <w:ilvl w:val="0"/>
          <w:numId w:val="2"/>
        </w:numPr>
        <w:spacing w:after="60" w:before="60"/>
      </w:pPr>
      <w:r>
        <w:rPr>
          <w:rFonts w:ascii="Arial" w:cs="Arial" w:eastAsia="Arial" w:hAnsi="Arial"/>
          <w:b w:val="false"/>
          <w:bCs w:val="false"/>
          <w:color w:val="000000"/>
          <w:sz w:val="22"/>
          <w:szCs w:val="22"/>
        </w:rPr>
        <w:t xml:space="preserve">Mixed methodology — recommended when both breadth (quant) and depth (qual) are needed</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4.6 Supported Query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Query Type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w:t>
            </w:r>
          </w:p>
        </w:tc>
        <w:tc>
          <w:tcPr>
            <w:tcW w:type="dxa" w:w="3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Output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Brand Positioning</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is the market position of Brand X in the GCC region?</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Summary with competitor map</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Market Trends</w:t>
            </w:r>
          </w:p>
        </w:tc>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are the latest consumer trends in the FMCG sector?</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Trend summary with sources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Sentiment &amp; Reviews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is the sentiment of online reviews for Brand Y?</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Sentiment score + key themes</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Research Methodology</w:t>
            </w:r>
          </w:p>
        </w:tc>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Should we use quant or qual for a brand awareness study on Gen Z?</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Recommended approach with rationale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Audience Profiling</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Who is the core audience for premium fitness brands in UAE?</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Audience profile with demographics</w:t>
            </w:r>
          </w:p>
        </w:tc>
      </w:tr>
    </w:tbl>
    <w:p>
      <w:pPr>
        <w:spacing w:after="60" w:before="60"/>
      </w:pPr>
      <w:r>
        <w:t xml:space="preserve"/>
      </w:r>
    </w:p>
    <w:p>
      <w:pPr>
        <w:pStyle w:val="Heading2"/>
        <w:spacing w:after="140" w:before="280"/>
      </w:pPr>
      <w:r>
        <w:rPr>
          <w:rFonts w:ascii="Arial" w:cs="Arial" w:eastAsia="Arial" w:hAnsi="Arial"/>
          <w:b/>
          <w:bCs/>
          <w:color w:val="2E75B6"/>
          <w:sz w:val="26"/>
          <w:szCs w:val="26"/>
        </w:rPr>
        <w:t xml:space="preserve">4.7 Sample Questions</w:t>
      </w:r>
    </w:p>
    <w:p>
      <w:pPr>
        <w:pStyle w:val="ListParagraph"/>
        <w:numPr>
          <w:ilvl w:val="0"/>
          <w:numId w:val="2"/>
        </w:numPr>
        <w:spacing w:after="60" w:before="60"/>
      </w:pPr>
      <w:r>
        <w:rPr>
          <w:rFonts w:ascii="Arial" w:cs="Arial" w:eastAsia="Arial" w:hAnsi="Arial"/>
          <w:b w:val="false"/>
          <w:bCs w:val="false"/>
          <w:color w:val="000000"/>
          <w:sz w:val="22"/>
          <w:szCs w:val="22"/>
        </w:rPr>
        <w:t xml:space="preserve">What is the current market position of Noon.com in the GCC e-commerce sector?</w:t>
      </w:r>
    </w:p>
    <w:p>
      <w:pPr>
        <w:pStyle w:val="ListParagraph"/>
        <w:numPr>
          <w:ilvl w:val="0"/>
          <w:numId w:val="2"/>
        </w:numPr>
        <w:spacing w:after="60" w:before="60"/>
      </w:pPr>
      <w:r>
        <w:rPr>
          <w:rFonts w:ascii="Arial" w:cs="Arial" w:eastAsia="Arial" w:hAnsi="Arial"/>
          <w:b w:val="false"/>
          <w:bCs w:val="false"/>
          <w:color w:val="000000"/>
          <w:sz w:val="22"/>
          <w:szCs w:val="22"/>
        </w:rPr>
        <w:t xml:space="preserve">What are the latest trends in the health and wellness category in Saudi Arabia?</w:t>
      </w:r>
    </w:p>
    <w:p>
      <w:pPr>
        <w:pStyle w:val="ListParagraph"/>
        <w:numPr>
          <w:ilvl w:val="0"/>
          <w:numId w:val="2"/>
        </w:numPr>
        <w:spacing w:after="60" w:before="60"/>
      </w:pPr>
      <w:r>
        <w:rPr>
          <w:rFonts w:ascii="Arial" w:cs="Arial" w:eastAsia="Arial" w:hAnsi="Arial"/>
          <w:b w:val="false"/>
          <w:bCs w:val="false"/>
          <w:color w:val="000000"/>
          <w:sz w:val="22"/>
          <w:szCs w:val="22"/>
        </w:rPr>
        <w:t xml:space="preserve">What is the overall sentiment of online reviews for Emirates NBD among SME customers?</w:t>
      </w:r>
    </w:p>
    <w:p>
      <w:pPr>
        <w:pStyle w:val="ListParagraph"/>
        <w:numPr>
          <w:ilvl w:val="0"/>
          <w:numId w:val="2"/>
        </w:numPr>
        <w:spacing w:after="60" w:before="60"/>
      </w:pPr>
      <w:r>
        <w:rPr>
          <w:rFonts w:ascii="Arial" w:cs="Arial" w:eastAsia="Arial" w:hAnsi="Arial"/>
          <w:b w:val="false"/>
          <w:bCs w:val="false"/>
          <w:color w:val="000000"/>
          <w:sz w:val="22"/>
          <w:szCs w:val="22"/>
        </w:rPr>
        <w:t xml:space="preserve">Should we use qual or quant to study brand loyalty among millennial banking customers in UAE?</w:t>
      </w:r>
    </w:p>
    <w:p>
      <w:pPr>
        <w:pStyle w:val="ListParagraph"/>
        <w:numPr>
          <w:ilvl w:val="0"/>
          <w:numId w:val="2"/>
        </w:numPr>
        <w:spacing w:after="60" w:before="60"/>
      </w:pPr>
      <w:r>
        <w:rPr>
          <w:rFonts w:ascii="Arial" w:cs="Arial" w:eastAsia="Arial" w:hAnsi="Arial"/>
          <w:b w:val="false"/>
          <w:bCs w:val="false"/>
          <w:color w:val="000000"/>
          <w:sz w:val="22"/>
          <w:szCs w:val="22"/>
        </w:rPr>
        <w:t xml:space="preserve">Who is the core audience for premium fitness brands in the GCC, and what motivates them?</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4.8 Build Status</w:t>
      </w:r>
    </w:p>
    <w:p>
      <w:pPr>
        <w:pStyle w:val="ListParagraph"/>
        <w:numPr>
          <w:ilvl w:val="0"/>
          <w:numId w:val="2"/>
        </w:numPr>
        <w:spacing w:after="60" w:before="60"/>
      </w:pPr>
      <w:r>
        <w:rPr>
          <w:rFonts w:ascii="Arial" w:cs="Arial" w:eastAsia="Arial" w:hAnsi="Arial"/>
          <w:b w:val="false"/>
          <w:bCs w:val="false"/>
          <w:color w:val="000000"/>
          <w:sz w:val="22"/>
          <w:szCs w:val="22"/>
        </w:rPr>
        <w:t xml:space="preserve">Status: Pending — to be scoped and built after PanelIQ Phase 1 is live</w:t>
      </w:r>
    </w:p>
    <w:p>
      <w:pPr>
        <w:pStyle w:val="ListParagraph"/>
        <w:numPr>
          <w:ilvl w:val="0"/>
          <w:numId w:val="2"/>
        </w:numPr>
        <w:spacing w:after="60" w:before="60"/>
      </w:pPr>
      <w:r>
        <w:rPr>
          <w:rFonts w:ascii="Arial" w:cs="Arial" w:eastAsia="Arial" w:hAnsi="Arial"/>
          <w:b w:val="false"/>
          <w:bCs w:val="false"/>
          <w:color w:val="000000"/>
          <w:sz w:val="22"/>
          <w:szCs w:val="22"/>
        </w:rPr>
        <w:t xml:space="preserve">Estimated duration: 2–3 months from scoping to launch</w:t>
      </w:r>
    </w:p>
    <w:p>
      <w:pPr>
        <w:pStyle w:val="ListParagraph"/>
        <w:numPr>
          <w:ilvl w:val="0"/>
          <w:numId w:val="2"/>
        </w:numPr>
        <w:spacing w:after="60" w:before="60"/>
      </w:pPr>
      <w:r>
        <w:rPr>
          <w:rFonts w:ascii="Arial" w:cs="Arial" w:eastAsia="Arial" w:hAnsi="Arial"/>
          <w:b w:val="false"/>
          <w:bCs w:val="false"/>
          <w:color w:val="000000"/>
          <w:sz w:val="22"/>
          <w:szCs w:val="22"/>
        </w:rPr>
        <w:t xml:space="preserve">Dependency: Shared platform and auth layer from PanelIQ</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BidSense — AI-Powered Proposal Generation Assistant</w:t>
      </w:r>
    </w:p>
    <w:p>
      <w:pPr>
        <w:pStyle w:val="Heading2"/>
        <w:spacing w:after="140" w:before="280"/>
      </w:pPr>
      <w:r>
        <w:rPr>
          <w:rFonts w:ascii="Arial" w:cs="Arial" w:eastAsia="Arial" w:hAnsi="Arial"/>
          <w:b/>
          <w:bCs/>
          <w:color w:val="2E75B6"/>
          <w:sz w:val="26"/>
          <w:szCs w:val="26"/>
        </w:rPr>
        <w:t xml:space="preserve">5.1 Overview</w:t>
      </w:r>
    </w:p>
    <w:p>
      <w:pPr>
        <w:spacing w:after="60" w:before="60"/>
      </w:pPr>
      <w:r>
        <w:rPr>
          <w:rFonts w:ascii="Arial" w:cs="Arial" w:eastAsia="Arial" w:hAnsi="Arial"/>
          <w:color w:val="000000"/>
          <w:sz w:val="22"/>
          <w:szCs w:val="22"/>
        </w:rPr>
        <w:t xml:space="preserve">The BidSense helps the bid and proposal team generate accurate, context-rich proposals faster by surfacing relevant historical data and drafting proposal content automatically. Instead of manually searching through past project records to find relevant precedents, the RFP team can query the tool in plain English and receive a summary of engagement history, cost benchmarks, and a draft proposal — in minutes.</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5.2 Current Challenges</w:t>
      </w:r>
    </w:p>
    <w:p>
      <w:pPr>
        <w:pStyle w:val="ListParagraph"/>
        <w:numPr>
          <w:ilvl w:val="0"/>
          <w:numId w:val="2"/>
        </w:numPr>
        <w:spacing w:after="60" w:before="60"/>
      </w:pPr>
      <w:r>
        <w:rPr>
          <w:rFonts w:ascii="Arial" w:cs="Arial" w:eastAsia="Arial" w:hAnsi="Arial"/>
          <w:b w:val="false"/>
          <w:bCs w:val="false"/>
          <w:color w:val="000000"/>
          <w:sz w:val="22"/>
          <w:szCs w:val="22"/>
        </w:rPr>
        <w:t xml:space="preserve">RFP analysts manually review past projects to find relevant engagement history for a client or audience segment</w:t>
      </w:r>
    </w:p>
    <w:p>
      <w:pPr>
        <w:pStyle w:val="ListParagraph"/>
        <w:numPr>
          <w:ilvl w:val="0"/>
          <w:numId w:val="2"/>
        </w:numPr>
        <w:spacing w:after="60" w:before="60"/>
      </w:pPr>
      <w:r>
        <w:rPr>
          <w:rFonts w:ascii="Arial" w:cs="Arial" w:eastAsia="Arial" w:hAnsi="Arial"/>
          <w:b w:val="false"/>
          <w:bCs w:val="false"/>
          <w:color w:val="000000"/>
          <w:sz w:val="22"/>
          <w:szCs w:val="22"/>
        </w:rPr>
        <w:t xml:space="preserve">Cost per complete (CPI) estimates rely on individual memory or informal benchmarks rather than verified historical data</w:t>
      </w:r>
    </w:p>
    <w:p>
      <w:pPr>
        <w:pStyle w:val="ListParagraph"/>
        <w:numPr>
          <w:ilvl w:val="0"/>
          <w:numId w:val="2"/>
        </w:numPr>
        <w:spacing w:after="60" w:before="60"/>
      </w:pPr>
      <w:r>
        <w:rPr>
          <w:rFonts w:ascii="Arial" w:cs="Arial" w:eastAsia="Arial" w:hAnsi="Arial"/>
          <w:b w:val="false"/>
          <w:bCs w:val="false"/>
          <w:color w:val="000000"/>
          <w:sz w:val="22"/>
          <w:szCs w:val="22"/>
        </w:rPr>
        <w:t xml:space="preserve">No structured way to assess success rate or incidence rate for similar past studies</w:t>
      </w:r>
    </w:p>
    <w:p>
      <w:pPr>
        <w:pStyle w:val="ListParagraph"/>
        <w:numPr>
          <w:ilvl w:val="0"/>
          <w:numId w:val="2"/>
        </w:numPr>
        <w:spacing w:after="60" w:before="60"/>
      </w:pPr>
      <w:r>
        <w:rPr>
          <w:rFonts w:ascii="Arial" w:cs="Arial" w:eastAsia="Arial" w:hAnsi="Arial"/>
          <w:b w:val="false"/>
          <w:bCs w:val="false"/>
          <w:color w:val="000000"/>
          <w:sz w:val="22"/>
          <w:szCs w:val="22"/>
        </w:rPr>
        <w:t xml:space="preserve">Proposal drafting is time-consuming and inconsistent across team members</w:t>
      </w:r>
    </w:p>
    <w:p>
      <w:pPr>
        <w:pStyle w:val="ListParagraph"/>
        <w:numPr>
          <w:ilvl w:val="0"/>
          <w:numId w:val="2"/>
        </w:numPr>
        <w:spacing w:after="60" w:before="60"/>
      </w:pPr>
      <w:r>
        <w:rPr>
          <w:rFonts w:ascii="Arial" w:cs="Arial" w:eastAsia="Arial" w:hAnsi="Arial"/>
          <w:b w:val="false"/>
          <w:bCs w:val="false"/>
          <w:color w:val="000000"/>
          <w:sz w:val="22"/>
          <w:szCs w:val="22"/>
        </w:rPr>
        <w:t xml:space="preserve">Institutional knowledge about client preferences and project performance is not systematically captured</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5.3 How It Works</w:t>
      </w:r>
    </w:p>
    <w:p>
      <w:pPr>
        <w:spacing w:after="60" w:before="60"/>
      </w:pPr>
      <w:r>
        <w:rPr>
          <w:rFonts w:ascii="Arial" w:cs="Arial" w:eastAsia="Arial" w:hAnsi="Arial"/>
          <w:color w:val="000000"/>
          <w:sz w:val="22"/>
          <w:szCs w:val="22"/>
        </w:rPr>
        <w:t xml:space="preserve">The BidSense connects to the internal project database and historical engagement records. It retrieves relevant past projects, computes benchmarks, and uses that context to generate a draft proposal.</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000000"/>
          <w:sz w:val="22"/>
          <w:szCs w:val="22"/>
        </w:rPr>
        <w:t xml:space="preserve">RFP Analyst describes the new requirement (client, audience, methodology, geography, sample size)</w:t>
      </w:r>
    </w:p>
    <w:p>
      <w:pPr>
        <w:pStyle w:val="ListParagraph"/>
        <w:numPr>
          <w:ilvl w:val="0"/>
          <w:numId w:val="2"/>
        </w:numPr>
        <w:spacing w:after="60" w:before="60"/>
      </w:pPr>
      <w:r>
        <w:rPr>
          <w:rFonts w:ascii="Arial" w:cs="Arial" w:eastAsia="Arial" w:hAnsi="Arial"/>
          <w:b w:val="false"/>
          <w:bCs w:val="false"/>
          <w:color w:val="000000"/>
          <w:sz w:val="22"/>
          <w:szCs w:val="22"/>
        </w:rPr>
        <w:t xml:space="preserve">Claude searches internal project history for matching client engagements and audience segments</w:t>
      </w:r>
    </w:p>
    <w:p>
      <w:pPr>
        <w:pStyle w:val="ListParagraph"/>
        <w:numPr>
          <w:ilvl w:val="0"/>
          <w:numId w:val="2"/>
        </w:numPr>
        <w:spacing w:after="60" w:before="60"/>
      </w:pPr>
      <w:r>
        <w:rPr>
          <w:rFonts w:ascii="Arial" w:cs="Arial" w:eastAsia="Arial" w:hAnsi="Arial"/>
          <w:b w:val="false"/>
          <w:bCs w:val="false"/>
          <w:color w:val="000000"/>
          <w:sz w:val="22"/>
          <w:szCs w:val="22"/>
        </w:rPr>
        <w:t xml:space="preserve">AI surfaces historical CPI, incidence rate (IR), completion rate, and success indicators for similar studies</w:t>
      </w:r>
    </w:p>
    <w:p>
      <w:pPr>
        <w:pStyle w:val="ListParagraph"/>
        <w:numPr>
          <w:ilvl w:val="0"/>
          <w:numId w:val="2"/>
        </w:numPr>
        <w:spacing w:after="60" w:before="60"/>
      </w:pPr>
      <w:r>
        <w:rPr>
          <w:rFonts w:ascii="Arial" w:cs="Arial" w:eastAsia="Arial" w:hAnsi="Arial"/>
          <w:b w:val="false"/>
          <w:bCs w:val="false"/>
          <w:color w:val="000000"/>
          <w:sz w:val="22"/>
          <w:szCs w:val="22"/>
        </w:rPr>
        <w:t xml:space="preserve">Claude drafts a proposal covering methodology, feasibility, timeline, and cost estimate</w:t>
      </w:r>
    </w:p>
    <w:p>
      <w:pPr>
        <w:pStyle w:val="ListParagraph"/>
        <w:numPr>
          <w:ilvl w:val="0"/>
          <w:numId w:val="2"/>
        </w:numPr>
        <w:spacing w:after="60" w:before="60"/>
      </w:pPr>
      <w:r>
        <w:rPr>
          <w:rFonts w:ascii="Arial" w:cs="Arial" w:eastAsia="Arial" w:hAnsi="Arial"/>
          <w:b w:val="false"/>
          <w:bCs w:val="false"/>
          <w:color w:val="000000"/>
          <w:sz w:val="22"/>
          <w:szCs w:val="22"/>
        </w:rPr>
        <w:t xml:space="preserve">Analyst reviews, refines, and exports the final proposal</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5.4 Key Data Sources</w:t>
      </w:r>
    </w:p>
    <w:p>
      <w:pPr>
        <w:pStyle w:val="ListParagraph"/>
        <w:numPr>
          <w:ilvl w:val="0"/>
          <w:numId w:val="2"/>
        </w:numPr>
        <w:spacing w:after="60" w:before="60"/>
      </w:pPr>
      <w:r>
        <w:rPr>
          <w:rFonts w:ascii="Arial" w:cs="Arial" w:eastAsia="Arial" w:hAnsi="Arial"/>
          <w:b w:val="false"/>
          <w:bCs w:val="false"/>
          <w:color w:val="000000"/>
          <w:sz w:val="22"/>
          <w:szCs w:val="22"/>
        </w:rPr>
        <w:t xml:space="preserve">Client engagement history — past projects, methodology, sample size, geography, and outcomes</w:t>
      </w:r>
    </w:p>
    <w:p>
      <w:pPr>
        <w:pStyle w:val="ListParagraph"/>
        <w:numPr>
          <w:ilvl w:val="0"/>
          <w:numId w:val="2"/>
        </w:numPr>
        <w:spacing w:after="60" w:before="60"/>
      </w:pPr>
      <w:r>
        <w:rPr>
          <w:rFonts w:ascii="Arial" w:cs="Arial" w:eastAsia="Arial" w:hAnsi="Arial"/>
          <w:b w:val="false"/>
          <w:bCs w:val="false"/>
          <w:color w:val="000000"/>
          <w:sz w:val="22"/>
          <w:szCs w:val="22"/>
        </w:rPr>
        <w:t xml:space="preserve">Audience segment history — incidence rates, completion rates, and fieldwork performance by segment</w:t>
      </w:r>
    </w:p>
    <w:p>
      <w:pPr>
        <w:pStyle w:val="ListParagraph"/>
        <w:numPr>
          <w:ilvl w:val="0"/>
          <w:numId w:val="2"/>
        </w:numPr>
        <w:spacing w:after="60" w:before="60"/>
      </w:pPr>
      <w:r>
        <w:rPr>
          <w:rFonts w:ascii="Arial" w:cs="Arial" w:eastAsia="Arial" w:hAnsi="Arial"/>
          <w:b w:val="false"/>
          <w:bCs w:val="false"/>
          <w:color w:val="000000"/>
          <w:sz w:val="22"/>
          <w:szCs w:val="22"/>
        </w:rPr>
        <w:t xml:space="preserve">Cost benchmarks — historical CPI by methodology, geography, and audience type</w:t>
      </w:r>
    </w:p>
    <w:p>
      <w:pPr>
        <w:pStyle w:val="ListParagraph"/>
        <w:numPr>
          <w:ilvl w:val="0"/>
          <w:numId w:val="2"/>
        </w:numPr>
        <w:spacing w:after="60" w:before="60"/>
      </w:pPr>
      <w:r>
        <w:rPr>
          <w:rFonts w:ascii="Arial" w:cs="Arial" w:eastAsia="Arial" w:hAnsi="Arial"/>
          <w:b w:val="false"/>
          <w:bCs w:val="false"/>
          <w:color w:val="000000"/>
          <w:sz w:val="22"/>
          <w:szCs w:val="22"/>
        </w:rPr>
        <w:t xml:space="preserve">Vendor performance data — supplier delivery rates and quality indicators where relevant</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5.5 Supported Query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Query Type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Example</w:t>
            </w:r>
          </w:p>
        </w:tc>
        <w:tc>
          <w:tcPr>
            <w:tcW w:type="dxa" w:w="3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Output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 History</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projects have we run for Client A in the last 2 years?</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 list with scope and outcomes</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Audience Segment History</w:t>
            </w:r>
          </w:p>
        </w:tc>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surveys have we run with C-suite respondents in KSA?</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Engagement history with IR and CPI</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Cost Benchmarking</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is the typical CPI for online B2B surveys in UAE?</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CPI range with context</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Success Rate Analysis</w:t>
            </w:r>
          </w:p>
        </w:tc>
        <w:tc>
          <w:tcPr>
            <w:tcW w:type="dxa" w:w="35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What is our historical completion rate for healthcare professionals?</w:t>
            </w:r>
          </w:p>
        </w:tc>
        <w:tc>
          <w:tcPr>
            <w:tcW w:type="dxa" w:w="3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Completion rate with notes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Proposal Drafting</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a proposal for a 500-complete B2C study in Egypt for Client B</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Draft proposal with methodology and cost</w:t>
            </w:r>
          </w:p>
        </w:tc>
      </w:tr>
    </w:tbl>
    <w:p>
      <w:pPr>
        <w:spacing w:after="60" w:before="60"/>
      </w:pPr>
      <w:r>
        <w:t xml:space="preserve"/>
      </w:r>
    </w:p>
    <w:p>
      <w:pPr>
        <w:pStyle w:val="Heading2"/>
        <w:spacing w:after="140" w:before="280"/>
      </w:pPr>
      <w:r>
        <w:rPr>
          <w:rFonts w:ascii="Arial" w:cs="Arial" w:eastAsia="Arial" w:hAnsi="Arial"/>
          <w:b/>
          <w:bCs/>
          <w:color w:val="2E75B6"/>
          <w:sz w:val="26"/>
          <w:szCs w:val="26"/>
        </w:rPr>
        <w:t xml:space="preserve">5.6 Sample Questions</w:t>
      </w:r>
    </w:p>
    <w:p>
      <w:pPr>
        <w:pStyle w:val="ListParagraph"/>
        <w:numPr>
          <w:ilvl w:val="0"/>
          <w:numId w:val="2"/>
        </w:numPr>
        <w:spacing w:after="60" w:before="60"/>
      </w:pPr>
      <w:r>
        <w:rPr>
          <w:rFonts w:ascii="Arial" w:cs="Arial" w:eastAsia="Arial" w:hAnsi="Arial"/>
          <w:b w:val="false"/>
          <w:bCs w:val="false"/>
          <w:color w:val="000000"/>
          <w:sz w:val="22"/>
          <w:szCs w:val="22"/>
        </w:rPr>
        <w:t xml:space="preserve">What have we quoted for B2B healthcare studies in KSA in the last 18 months?</w:t>
      </w:r>
    </w:p>
    <w:p>
      <w:pPr>
        <w:pStyle w:val="ListParagraph"/>
        <w:numPr>
          <w:ilvl w:val="0"/>
          <w:numId w:val="2"/>
        </w:numPr>
        <w:spacing w:after="60" w:before="60"/>
      </w:pPr>
      <w:r>
        <w:rPr>
          <w:rFonts w:ascii="Arial" w:cs="Arial" w:eastAsia="Arial" w:hAnsi="Arial"/>
          <w:b w:val="false"/>
          <w:bCs w:val="false"/>
          <w:color w:val="000000"/>
          <w:sz w:val="22"/>
          <w:szCs w:val="22"/>
        </w:rPr>
        <w:t xml:space="preserve">What is the typical IR for C-suite respondents in the UAE financial services sector?</w:t>
      </w:r>
    </w:p>
    <w:p>
      <w:pPr>
        <w:pStyle w:val="ListParagraph"/>
        <w:numPr>
          <w:ilvl w:val="0"/>
          <w:numId w:val="2"/>
        </w:numPr>
        <w:spacing w:after="60" w:before="60"/>
      </w:pPr>
      <w:r>
        <w:rPr>
          <w:rFonts w:ascii="Arial" w:cs="Arial" w:eastAsia="Arial" w:hAnsi="Arial"/>
          <w:b w:val="false"/>
          <w:bCs w:val="false"/>
          <w:color w:val="000000"/>
          <w:sz w:val="22"/>
          <w:szCs w:val="22"/>
        </w:rPr>
        <w:t xml:space="preserve">Draft a proposal for a 300-complete online study among UAE nationals aged 25–45 for Client X</w:t>
      </w:r>
    </w:p>
    <w:p>
      <w:pPr>
        <w:pStyle w:val="ListParagraph"/>
        <w:numPr>
          <w:ilvl w:val="0"/>
          <w:numId w:val="2"/>
        </w:numPr>
        <w:spacing w:after="60" w:before="60"/>
      </w:pPr>
      <w:r>
        <w:rPr>
          <w:rFonts w:ascii="Arial" w:cs="Arial" w:eastAsia="Arial" w:hAnsi="Arial"/>
          <w:b w:val="false"/>
          <w:bCs w:val="false"/>
          <w:color w:val="000000"/>
          <w:sz w:val="22"/>
          <w:szCs w:val="22"/>
        </w:rPr>
        <w:t xml:space="preserve">What is our average completion rate for multi-wave trackers among GCC consumers?</w:t>
      </w:r>
    </w:p>
    <w:p>
      <w:pPr>
        <w:pStyle w:val="ListParagraph"/>
        <w:numPr>
          <w:ilvl w:val="0"/>
          <w:numId w:val="2"/>
        </w:numPr>
        <w:spacing w:after="60" w:before="60"/>
      </w:pPr>
      <w:r>
        <w:rPr>
          <w:rFonts w:ascii="Arial" w:cs="Arial" w:eastAsia="Arial" w:hAnsi="Arial"/>
          <w:b w:val="false"/>
          <w:bCs w:val="false"/>
          <w:color w:val="000000"/>
          <w:sz w:val="22"/>
          <w:szCs w:val="22"/>
        </w:rPr>
        <w:t xml:space="preserve">Which clients have we worked with in the FMCG category and what was the average project value?</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5.7 Build Status</w:t>
      </w:r>
    </w:p>
    <w:p>
      <w:pPr>
        <w:pStyle w:val="ListParagraph"/>
        <w:numPr>
          <w:ilvl w:val="0"/>
          <w:numId w:val="2"/>
        </w:numPr>
        <w:spacing w:after="60" w:before="60"/>
      </w:pPr>
      <w:r>
        <w:rPr>
          <w:rFonts w:ascii="Arial" w:cs="Arial" w:eastAsia="Arial" w:hAnsi="Arial"/>
          <w:b w:val="false"/>
          <w:bCs w:val="false"/>
          <w:color w:val="000000"/>
          <w:sz w:val="22"/>
          <w:szCs w:val="22"/>
        </w:rPr>
        <w:t xml:space="preserve">Status: Pending — to be scoped and built after PanelIQ Phase 1 is live</w:t>
      </w:r>
    </w:p>
    <w:p>
      <w:pPr>
        <w:pStyle w:val="ListParagraph"/>
        <w:numPr>
          <w:ilvl w:val="0"/>
          <w:numId w:val="2"/>
        </w:numPr>
        <w:spacing w:after="60" w:before="60"/>
      </w:pPr>
      <w:r>
        <w:rPr>
          <w:rFonts w:ascii="Arial" w:cs="Arial" w:eastAsia="Arial" w:hAnsi="Arial"/>
          <w:b w:val="false"/>
          <w:bCs w:val="false"/>
          <w:color w:val="000000"/>
          <w:sz w:val="22"/>
          <w:szCs w:val="22"/>
        </w:rPr>
        <w:t xml:space="preserve">Estimated duration: 2–3 months from scoping to launch</w:t>
      </w:r>
    </w:p>
    <w:p>
      <w:pPr>
        <w:pStyle w:val="ListParagraph"/>
        <w:numPr>
          <w:ilvl w:val="0"/>
          <w:numId w:val="2"/>
        </w:numPr>
        <w:spacing w:after="60" w:before="60"/>
      </w:pPr>
      <w:r>
        <w:rPr>
          <w:rFonts w:ascii="Arial" w:cs="Arial" w:eastAsia="Arial" w:hAnsi="Arial"/>
          <w:b w:val="false"/>
          <w:bCs w:val="false"/>
          <w:color w:val="000000"/>
          <w:sz w:val="22"/>
          <w:szCs w:val="22"/>
        </w:rPr>
        <w:t xml:space="preserve">Dependency: Shared platform and auth layer from PanelIQ; internal project data access required</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Technology Stack</w:t>
      </w:r>
    </w:p>
    <w:p>
      <w:pPr>
        <w:spacing w:after="60" w:before="60"/>
      </w:pPr>
      <w:r>
        <w:rPr>
          <w:rFonts w:ascii="Arial" w:cs="Arial" w:eastAsia="Arial" w:hAnsi="Arial"/>
          <w:color w:val="000000"/>
          <w:sz w:val="22"/>
          <w:szCs w:val="22"/>
        </w:rPr>
        <w:t xml:space="preserve">All three tools are built on a shared technology platform, reducing total development cost and ensuring a consistent user experience. The stack below applies across PanelIQ, the BrandScope, and the BidSense, with tool-specific components noted.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41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Backend API</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FastAPI (Python)</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 API, business logic, data processing</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Engine</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claude-sonnet-4-6 (Anthropic)</w:t>
            </w:r>
          </w:p>
        </w:tc>
        <w:tc>
          <w:tcPr>
            <w:tcW w:type="dxa" w:w="4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Natural language understanding, tool use, response generation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Web Search / Research</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Anthropic Web Search Tool</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Real-time brand data, market trends, sentiment retrieval</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Frontend</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React + TypeScript</w:t>
            </w:r>
          </w:p>
        </w:tc>
        <w:tc>
          <w:tcPr>
            <w:tcW w:type="dxa" w:w="4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Chat interface, dashboards, file management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 Server (SQLAlchemy)</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Projects, users, RFP history, engagement data</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 Data Layer</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Existing SSRS / SQL data sources</w:t>
            </w:r>
          </w:p>
        </w:tc>
        <w:tc>
          <w:tcPr>
            <w:tcW w:type="dxa" w:w="4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 metrics, project tracking, vendor data</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Alerts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Microsoft Teams Webhooks</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Threshold breach notifications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Deployment</w:t>
            </w:r>
          </w:p>
        </w:tc>
        <w:tc>
          <w:tcPr>
            <w:tcW w:type="dxa" w:w="28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On-premise server</w:t>
            </w:r>
          </w:p>
        </w:tc>
        <w:tc>
          <w:tcPr>
            <w:tcW w:type="dxa" w:w="41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Internal hosting, no cloud dependency</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Rollout Plan &amp; Timeline</w:t>
      </w:r>
    </w:p>
    <w:p>
      <w:pPr>
        <w:spacing w:after="60" w:before="60"/>
      </w:pPr>
      <w:r>
        <w:rPr>
          <w:rFonts w:ascii="Arial" w:cs="Arial" w:eastAsia="Arial" w:hAnsi="Arial"/>
          <w:color w:val="000000"/>
          <w:sz w:val="22"/>
          <w:szCs w:val="22"/>
        </w:rPr>
        <w:t xml:space="preserve">The three tools are developed and released sequentially, with each release validated with real users before the next is scoped. This approach reduces risk, incorporates feedback early, and ensures each tool is stable and useful before the next is built.</w:t>
      </w:r>
    </w:p>
    <w:p>
      <w:pPr>
        <w:spacing w:after="60" w:before="60"/>
      </w:pPr>
      <w:r>
        <w:t xml:space="preserve"/>
      </w:r>
    </w:p>
    <w:p>
      <w:pPr>
        <w:spacing w:after="60" w:before="60"/>
      </w:pPr>
      <w:r>
        <w:rPr>
          <w:rFonts w:ascii="Arial" w:cs="Arial" w:eastAsia="Arial" w:hAnsi="Arial"/>
          <w:color w:val="000000"/>
          <w:sz w:val="22"/>
          <w:szCs w:val="22"/>
        </w:rPr>
        <w:t xml:space="preserve">Timelines below are estimates based on standard development effort. Actual timelines depend on the resource model chosen (see Section 8). All estimates assume focused, uninterrupted development effort.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80"/>
        <w:gridCol w:w="2280"/>
      </w:tblGrid>
      <w:tr>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Phase</w:t>
            </w:r>
          </w:p>
        </w:tc>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Scope</w:t>
            </w:r>
          </w:p>
        </w:tc>
        <w:tc>
          <w:tcPr>
            <w:tcW w:type="dxa" w:w="18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 Duration</w:t>
            </w:r>
          </w:p>
        </w:tc>
        <w:tc>
          <w:tcPr>
            <w:tcW w:type="dxa" w:w="22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Cumulative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PanelIQ POC</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AI chatbot on sample data. Dynamic Q&amp;A with sample questions. For management sign-off.</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weeks</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3</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PanelIQ Phase 1</w:t>
            </w:r>
          </w:p>
        </w:tc>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 panel health, engagement, fraud, cost monitoring. Role-based access. Email &amp; Teams alerts.</w:t>
            </w:r>
          </w:p>
        </w:tc>
        <w:tc>
          <w:tcPr>
            <w:tcW w:type="dxa" w:w="18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4–5 months</w:t>
            </w:r>
          </w:p>
        </w:tc>
        <w:tc>
          <w:tcPr>
            <w:tcW w:type="dxa" w:w="2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6</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PanelIQ Phase 2</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Live project tracking, fieldwork monitoring, milestone and deadline alerts.</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months</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9</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PanelIQ UAT</w:t>
            </w:r>
          </w:p>
        </w:tc>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acceptance testing with internal teams. Bug fixes and stabilisation.</w:t>
            </w:r>
          </w:p>
        </w:tc>
        <w:tc>
          <w:tcPr>
            <w:tcW w:type="dxa" w:w="18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weeks</w:t>
            </w:r>
          </w:p>
        </w:tc>
        <w:tc>
          <w:tcPr>
            <w:tcW w:type="dxa" w:w="2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10</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BrandScope</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Brand intelligence briefs, trend analysis, sentiment, methodology recommendation. Web search enabled.</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months</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13</w:t>
            </w:r>
          </w:p>
        </w:tc>
      </w:tr>
      <w:tr>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BidSense</w:t>
            </w:r>
          </w:p>
        </w:tc>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 and audience history retrieval, CPI benchmarking, draft proposal generation.</w:t>
            </w:r>
          </w:p>
        </w:tc>
        <w:tc>
          <w:tcPr>
            <w:tcW w:type="dxa" w:w="18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months</w:t>
            </w:r>
          </w:p>
        </w:tc>
        <w:tc>
          <w:tcPr>
            <w:tcW w:type="dxa" w:w="22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16</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UAT &amp; Launch</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End-to-end testing across all three tools. Performance tuning and final refinements.</w:t>
            </w:r>
          </w:p>
        </w:tc>
        <w:tc>
          <w:tcPr>
            <w:tcW w:type="dxa" w:w="1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2–3 weeks</w:t>
            </w:r>
          </w:p>
        </w:tc>
        <w:tc>
          <w:tcPr>
            <w:tcW w:type="dxa" w:w="2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 17</w:t>
            </w:r>
          </w:p>
        </w:tc>
      </w:tr>
    </w:tbl>
    <w:p>
      <w:pPr>
        <w:spacing w:after="60" w:before="60"/>
      </w:pPr>
      <w:r>
        <w:t xml:space="preserve"/>
      </w:r>
    </w:p>
    <w:p>
      <w:pPr>
        <w:spacing w:after="60" w:before="60"/>
      </w:pPr>
      <w:r>
        <w:rPr>
          <w:rFonts w:ascii="Arial" w:cs="Arial" w:eastAsia="Arial" w:hAnsi="Arial"/>
          <w:i/>
          <w:iCs/>
          <w:color w:val="000000"/>
          <w:sz w:val="22"/>
          <w:szCs w:val="22"/>
        </w:rPr>
        <w:t xml:space="preserve">Total estimated duration: 14–17 months from POC to full platform delivery across all three tools. Each tool is released and validated with real users before the next is built.</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8. Resource Planning</w:t>
      </w:r>
    </w:p>
    <w:p>
      <w:pPr>
        <w:spacing w:after="60" w:before="60"/>
      </w:pPr>
      <w:r>
        <w:rPr>
          <w:rFonts w:ascii="Arial" w:cs="Arial" w:eastAsia="Arial" w:hAnsi="Arial"/>
          <w:color w:val="000000"/>
          <w:sz w:val="22"/>
          <w:szCs w:val="22"/>
        </w:rPr>
        <w:t xml:space="preserve">Two resource models are presented below. The appropriate model depends on the organisation's decision to use an external development team or leverage internal resources with domain expertise.</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Scenario A — Pure Development Team (External / Dedicated)</w:t>
      </w:r>
    </w:p>
    <w:p>
      <w:pPr>
        <w:spacing w:after="60" w:before="60"/>
      </w:pPr>
      <w:r>
        <w:rPr>
          <w:rFonts w:ascii="Arial" w:cs="Arial" w:eastAsia="Arial" w:hAnsi="Arial"/>
          <w:color w:val="000000"/>
          <w:sz w:val="22"/>
          <w:szCs w:val="22"/>
        </w:rPr>
        <w:t xml:space="preserve">A dedicated development team is engaged for the full build across all three tools. The internal team's role is limited to requirements sign-off, UAT, and providing domain knowledge.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100"/>
        <w:gridCol w:w="1100"/>
        <w:gridCol w:w="1100"/>
        <w:gridCol w:w="1260"/>
      </w:tblGrid>
      <w:t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Profile &amp; Skills</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PanelIQ</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BrandScope</w:t>
            </w:r>
          </w:p>
        </w:tc>
        <w:tc>
          <w:tcPr>
            <w:tcW w:type="dxa" w:w="11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BidSense</w:t>
            </w:r>
          </w:p>
        </w:tc>
        <w:tc>
          <w:tcPr>
            <w:tcW w:type="dxa" w:w="1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 Total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Senior Full-stack Developer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yrs Python (FastAPI) + React/TypeScript. REST APIs, SQL Server, data pipelines.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months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months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months</w:t>
            </w:r>
          </w:p>
        </w:tc>
        <w:tc>
          <w:tcPr>
            <w:tcW w:type="dxa" w:w="1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 months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 Prompt Engineer</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Claude / LLM API integration, tool-use patterns, web search, prompt design.</w:t>
            </w:r>
          </w:p>
        </w:tc>
        <w:tc>
          <w:tcPr>
            <w:tcW w:type="dxa" w:w="1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 months</w:t>
            </w:r>
          </w:p>
        </w:tc>
        <w:tc>
          <w:tcPr>
            <w:tcW w:type="dxa" w:w="1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months</w:t>
            </w:r>
          </w:p>
        </w:tc>
        <w:tc>
          <w:tcPr>
            <w:tcW w:type="dxa" w:w="1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months</w:t>
            </w:r>
          </w:p>
        </w:tc>
        <w:tc>
          <w:tcPr>
            <w:tcW w:type="dxa" w:w="1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 months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 Engineer (part-time)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testing, UI testing, domain knowledge for test case design.</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 months</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month</w:t>
            </w:r>
          </w:p>
        </w:tc>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month</w:t>
            </w:r>
          </w:p>
        </w:tc>
        <w:tc>
          <w:tcPr>
            <w:tcW w:type="dxa" w:w="1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 months</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 / Project Coordinator (part-time)</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Requirements, sprint planning, UAT coordination, stakeholder comms.</w:t>
            </w:r>
          </w:p>
        </w:tc>
        <w:tc>
          <w:tcPr>
            <w:tcW w:type="dxa" w:w="1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Throughout</w:t>
            </w:r>
          </w:p>
        </w:tc>
        <w:tc>
          <w:tcPr>
            <w:tcW w:type="dxa" w:w="1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Throughout</w:t>
            </w:r>
          </w:p>
        </w:tc>
        <w:tc>
          <w:tcPr>
            <w:tcW w:type="dxa" w:w="11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Throughout</w:t>
            </w:r>
          </w:p>
        </w:tc>
        <w:tc>
          <w:tcPr>
            <w:tcW w:type="dxa" w:w="12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Throughout</w:t>
            </w:r>
          </w:p>
        </w:tc>
      </w:tr>
    </w:tbl>
    <w:p>
      <w:pPr>
        <w:spacing w:after="60" w:before="60"/>
      </w:pPr>
      <w:r>
        <w:t xml:space="preserve"/>
      </w:r>
    </w:p>
    <w:p>
      <w:pPr>
        <w:pStyle w:val="Heading2"/>
        <w:spacing w:after="140" w:before="280"/>
      </w:pPr>
      <w:r>
        <w:rPr>
          <w:rFonts w:ascii="Arial" w:cs="Arial" w:eastAsia="Arial" w:hAnsi="Arial"/>
          <w:b/>
          <w:bCs/>
          <w:color w:val="2E75B6"/>
          <w:sz w:val="26"/>
          <w:szCs w:val="26"/>
        </w:rPr>
        <w:t xml:space="preserve">Scenario B — Internal Team (Domain Experts, No Development Background)</w:t>
      </w:r>
    </w:p>
    <w:p>
      <w:pPr>
        <w:spacing w:after="60" w:before="60"/>
      </w:pPr>
      <w:r>
        <w:rPr>
          <w:rFonts w:ascii="Arial" w:cs="Arial" w:eastAsia="Arial" w:hAnsi="Arial"/>
          <w:color w:val="000000"/>
          <w:sz w:val="22"/>
          <w:szCs w:val="22"/>
        </w:rPr>
        <w:t xml:space="preserve">The internal team — who deeply understand panel operations, research methodology, and client engagement history — supports the build by owning requirements, testing, and domain validation. A single contracted developer is engaged for the code. Timeline is approximately 30–40% longer than Scenario A due to knowledge transfer overhead, but total cost is significantly lower.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Profile</w:t>
            </w:r>
          </w:p>
        </w:tc>
        <w:tc>
          <w:tcPr>
            <w:tcW w:type="dxa" w:w="47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Contribution to Project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Research Lead / Analyst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Experienced in research methodologies and brand studies</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Defines research requirements, validates AI brand outputs, writes test cases based on known client data</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RFP / Bid Manager</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Experienced in proposal writing and client engagement history</w:t>
            </w:r>
          </w:p>
        </w:tc>
        <w:tc>
          <w:tcPr>
            <w:tcW w:type="dxa" w:w="47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Defines proposal templates, validates AI-generated cost estimates, tests client history retrieval accuracy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 Operations Lead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Handles panel data, vendor management, project tracking</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Validates PanelIQ metric outputs, configures alert thresholds, tests data accuracy against SSRS</w:t>
            </w:r>
          </w:p>
        </w:tc>
      </w:tr>
      <w:tr>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Product Owner / Manager</w:t>
            </w:r>
          </w:p>
        </w:tc>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Understands cross-functional workflows and stakeholder needs</w:t>
            </w:r>
          </w:p>
        </w:tc>
        <w:tc>
          <w:tcPr>
            <w:tcW w:type="dxa" w:w="47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Reviews features at each sprint, signs off UAT, sets tool priorities across all three platforms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Contracted Developer (1 person)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Full-stack developer with Python + React experience</w:t>
            </w:r>
          </w:p>
        </w:tc>
        <w:tc>
          <w:tcPr>
            <w:tcW w:type="dxa" w:w="4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Sole developer across all three tools; internal team provides requirements, test data, and domain review</w:t>
            </w:r>
          </w:p>
        </w:tc>
      </w:tr>
    </w:tbl>
    <w:p>
      <w:pPr>
        <w:spacing w:after="60" w:before="60"/>
      </w:pPr>
      <w:r>
        <w:t xml:space="preserve"/>
      </w:r>
    </w:p>
    <w:p>
      <w:pPr>
        <w:spacing w:after="60" w:before="60"/>
      </w:pPr>
      <w:r>
        <w:rPr>
          <w:rFonts w:ascii="Arial" w:cs="Arial" w:eastAsia="Arial" w:hAnsi="Arial"/>
          <w:i/>
          <w:iCs/>
          <w:color w:val="000000"/>
          <w:sz w:val="22"/>
          <w:szCs w:val="22"/>
        </w:rPr>
        <w:t xml:space="preserve">Note: Scenario B is the recommended starting point given the strong internal domain expertise available across panel operations, research, and bid management. For the BidSense in particular, internal validation of AI-generated cost benchmarks is critical to accuracy.</w:t>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9. Cost Estimation</w:t>
      </w:r>
    </w:p>
    <w:p>
      <w:pPr>
        <w:spacing w:after="60" w:before="60"/>
      </w:pPr>
      <w:r>
        <w:rPr>
          <w:rFonts w:ascii="Arial" w:cs="Arial" w:eastAsia="Arial" w:hAnsi="Arial"/>
          <w:color w:val="000000"/>
          <w:sz w:val="22"/>
          <w:szCs w:val="22"/>
        </w:rPr>
        <w:t xml:space="preserve">All figures below are indicative estimates. Actual costs will vary based on geography, vendor rates, and final scope. Costs are split into four categories: development team, AI API usage, infrastructure, and tools &amp; licensing.</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A. Development Team Cost</w:t>
      </w:r>
    </w:p>
    <w:p>
      <w:pPr>
        <w:spacing w:after="60" w:before="60"/>
      </w:pPr>
      <w:r>
        <w:rPr>
          <w:rFonts w:ascii="Arial" w:cs="Arial" w:eastAsia="Arial" w:hAnsi="Arial"/>
          <w:color w:val="000000"/>
          <w:sz w:val="22"/>
          <w:szCs w:val="22"/>
        </w:rPr>
        <w:t xml:space="preserve">Applicable only under Scenario A (pure development team). Under Scenario B, replace with contracted developer rate.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980"/>
        <w:gridCol w:w="2580"/>
      </w:tblGrid>
      <w:tr>
        <w:tc>
          <w:tcPr>
            <w:tcW w:type="dxa" w:w="2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Role</w:t>
            </w:r>
          </w:p>
        </w:tc>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 Monthly Rate</w:t>
            </w:r>
          </w:p>
        </w:tc>
        <w:tc>
          <w:tcPr>
            <w:tcW w:type="dxa" w:w="19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Engaged For</w:t>
            </w:r>
          </w:p>
        </w:tc>
        <w:tc>
          <w:tcPr>
            <w:tcW w:type="dxa" w:w="25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 Total Cost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Senior Full-stack Developer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$3,500 – $6,000 / month</w:t>
            </w:r>
          </w:p>
        </w:tc>
        <w:tc>
          <w:tcPr>
            <w:tcW w:type="dxa" w:w="19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 months</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$31,500 – $54,000</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 Prompt Engineer</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$3,500 – $6,000 / month</w:t>
            </w:r>
          </w:p>
        </w:tc>
        <w:tc>
          <w:tcPr>
            <w:tcW w:type="dxa" w:w="19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 months</w:t>
            </w:r>
          </w:p>
        </w:tc>
        <w:tc>
          <w:tcPr>
            <w:tcW w:type="dxa" w:w="25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$24,500 – $42,000</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QA Engineer (50% time)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 – $2,000 / month</w:t>
            </w:r>
          </w:p>
        </w:tc>
        <w:tc>
          <w:tcPr>
            <w:tcW w:type="dxa" w:w="19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 months</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$5,000 – $10,000</w:t>
            </w:r>
          </w:p>
        </w:tc>
      </w:tr>
      <w:tr>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 / Project Coordinator (50%)</w:t>
            </w:r>
          </w:p>
        </w:tc>
        <w:tc>
          <w:tcPr>
            <w:tcW w:type="dxa" w:w="2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 – $1,800 / month</w:t>
            </w:r>
          </w:p>
        </w:tc>
        <w:tc>
          <w:tcPr>
            <w:tcW w:type="dxa" w:w="19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 months</w:t>
            </w:r>
          </w:p>
        </w:tc>
        <w:tc>
          <w:tcPr>
            <w:tcW w:type="dxa" w:w="25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$10,000 – $18,000</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Total (Scenario A)</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c>
          <w:tcPr>
            <w:tcW w:type="dxa" w:w="19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Full Platform</w:t>
            </w:r>
          </w:p>
        </w:tc>
        <w:tc>
          <w:tcPr>
            <w:tcW w:type="dxa" w:w="2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$71,000 – $124,000</w:t>
            </w:r>
          </w:p>
        </w:tc>
      </w:tr>
    </w:tbl>
    <w:p>
      <w:pPr>
        <w:spacing w:after="60" w:before="60"/>
      </w:pPr>
      <w:r>
        <w:t xml:space="preserve"/>
      </w:r>
    </w:p>
    <w:p>
      <w:pPr>
        <w:pStyle w:val="Heading2"/>
        <w:spacing w:after="140" w:before="280"/>
      </w:pPr>
      <w:r>
        <w:rPr>
          <w:rFonts w:ascii="Arial" w:cs="Arial" w:eastAsia="Arial" w:hAnsi="Arial"/>
          <w:b/>
          <w:bCs/>
          <w:color w:val="2E75B6"/>
          <w:sz w:val="26"/>
          <w:szCs w:val="26"/>
        </w:rPr>
        <w:t xml:space="preserve">B. Anthropic API Usage Cost (Per Action)</w:t>
      </w:r>
    </w:p>
    <w:p>
      <w:pPr>
        <w:spacing w:after="60" w:before="60"/>
      </w:pPr>
      <w:r>
        <w:rPr>
          <w:rFonts w:ascii="Arial" w:cs="Arial" w:eastAsia="Arial" w:hAnsi="Arial"/>
          <w:color w:val="000000"/>
          <w:sz w:val="22"/>
          <w:szCs w:val="22"/>
        </w:rPr>
        <w:t xml:space="preserve">All three tools use Claude claude-sonnet-4-6 via the Anthropic API. Cost is pay-per-use based on tokens processed. The BrandScope additionally uses the Anthropic web search tool, which adds a small per-search cost.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Tool / Module</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API Calls Per Action</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 Cost Per Action</w:t>
            </w:r>
          </w:p>
        </w:tc>
        <w:tc>
          <w:tcPr>
            <w:tcW w:type="dxa" w:w="29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 Monthly Cost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PanelIQ — Chatbot Query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 calls per question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$0.01 – $0.05</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 – $150 / month (100 queries/day)</w:t>
            </w:r>
          </w:p>
        </w:tc>
      </w:tr>
      <w:tr>
        <w:tc>
          <w:tcPr>
            <w:tcW w:type="dxa" w:w="24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BrandScope — Brand Brief</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3–6 calls (web search + synthesis)</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$0.10 – $0.30 per brief</w:t>
            </w:r>
          </w:p>
        </w:tc>
        <w:tc>
          <w:tcPr>
            <w:tcW w:type="dxa" w:w="29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 – $200 / month (20 briefs/day)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BidSense — Proposal Generation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2–4 calls per proposal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$0.05 – $0.15 per proposal</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 – $100 / month (20 proposals/day)</w:t>
            </w:r>
          </w:p>
        </w:tc>
      </w:tr>
    </w:tbl>
    <w:p>
      <w:pPr>
        <w:spacing w:after="60" w:before="60"/>
      </w:pPr>
      <w:r>
        <w:t xml:space="preserve"/>
      </w:r>
    </w:p>
    <w:p>
      <w:pPr>
        <w:spacing w:after="60" w:before="60"/>
      </w:pPr>
      <w:r>
        <w:rPr>
          <w:rFonts w:ascii="Arial" w:cs="Arial" w:eastAsia="Arial" w:hAnsi="Arial"/>
          <w:i/>
          <w:iCs/>
          <w:color w:val="000000"/>
          <w:sz w:val="22"/>
          <w:szCs w:val="22"/>
        </w:rPr>
        <w:t xml:space="preserve">Note: API costs scale with usage volume. For a team of 15–25 active users across all three tools, total monthly API spend is estimated at $110–$450/month.</w:t>
      </w:r>
    </w:p>
    <w:p>
      <w:pPr>
        <w:spacing w:after="60" w:before="60"/>
      </w:pPr>
      <w:r>
        <w:t xml:space="preserve"/>
      </w:r>
    </w:p>
    <w:p>
      <w:pPr>
        <w:pStyle w:val="Heading2"/>
        <w:spacing w:after="140" w:before="280"/>
      </w:pPr>
      <w:r>
        <w:rPr>
          <w:rFonts w:ascii="Arial" w:cs="Arial" w:eastAsia="Arial" w:hAnsi="Arial"/>
          <w:b/>
          <w:bCs/>
          <w:color w:val="2E75B6"/>
          <w:sz w:val="26"/>
          <w:szCs w:val="26"/>
        </w:rPr>
        <w:t xml:space="preserve">C. Infrastructure &amp; Server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Item</w:t>
            </w:r>
          </w:p>
        </w:tc>
        <w:tc>
          <w:tcPr>
            <w:tcW w:type="dxa" w:w="2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35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Est. Cost</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On-premise application server</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One-time hardware (if new server needed)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 – $5,000</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 Cloud VM (e.g. Azure / AWS)</w:t>
            </w:r>
          </w:p>
        </w:tc>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recurring (if cloud hosted)</w:t>
            </w:r>
          </w:p>
        </w:tc>
        <w:tc>
          <w:tcPr>
            <w:tcW w:type="dxa" w:w="3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$150 – $400 / month</w:t>
            </w:r>
          </w:p>
        </w:tc>
      </w:tr>
      <w:tr>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 Server</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Already licensed</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w:t>
            </w:r>
          </w:p>
        </w:tc>
      </w:tr>
      <w:tr>
        <w:tc>
          <w:tcPr>
            <w:tcW w:type="dxa" w:w="32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Domain name + SSL certificate</w:t>
            </w:r>
          </w:p>
        </w:tc>
        <w:tc>
          <w:tcPr>
            <w:tcW w:type="dxa" w:w="26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Annual (if externally accessible)</w:t>
            </w:r>
          </w:p>
        </w:tc>
        <w:tc>
          <w:tcPr>
            <w:tcW w:type="dxa" w:w="35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$50 – $100 / year</w:t>
            </w:r>
          </w:p>
        </w:tc>
      </w:tr>
    </w:tbl>
    <w:p>
      <w:pPr>
        <w:spacing w:after="60" w:before="60"/>
      </w:pPr>
      <w:r>
        <w:t xml:space="preserve"/>
      </w:r>
    </w:p>
    <w:p>
      <w:pPr>
        <w:pStyle w:val="Heading2"/>
        <w:spacing w:after="140" w:before="280"/>
      </w:pPr>
      <w:r>
        <w:rPr>
          <w:rFonts w:ascii="Arial" w:cs="Arial" w:eastAsia="Arial" w:hAnsi="Arial"/>
          <w:b/>
          <w:bCs/>
          <w:color w:val="2E75B6"/>
          <w:sz w:val="26"/>
          <w:szCs w:val="26"/>
        </w:rPr>
        <w:t xml:space="preserve">D. Tools &amp; Licensing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Tool / Library</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Cost</w:t>
            </w:r>
          </w:p>
        </w:tc>
        <w:tc>
          <w:tcPr>
            <w:tcW w:type="dxa" w:w="43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FastAPI, React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 (open source)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core development frameworks are open source</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Anthropic API</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Pay-per-use</w:t>
            </w:r>
          </w:p>
        </w:tc>
        <w:tc>
          <w:tcPr>
            <w:tcW w:type="dxa" w:w="4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Covered in Section B above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SQL Server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Already licensed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Using existing BorderlessAccess SQL Server instance</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Microsoft Teams Webhooks</w:t>
            </w:r>
          </w:p>
        </w:tc>
        <w:tc>
          <w:tcPr>
            <w:tcW w:type="dxa" w:w="2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w:t>
            </w:r>
          </w:p>
        </w:tc>
        <w:tc>
          <w:tcPr>
            <w:tcW w:type="dxa" w:w="436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Included in existing Microsoft 365 licence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 / version control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Free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GitHub free tier or internal Git server</w:t>
            </w:r>
          </w:p>
        </w:tc>
      </w:tr>
    </w:tbl>
    <w:p>
      <w:pPr>
        <w:spacing w:after="60" w:before="60"/>
      </w:pPr>
      <w:r>
        <w:t xml:space="preserve"/>
      </w:r>
    </w:p>
    <w:p>
      <w:pPr>
        <w:pStyle w:val="Heading2"/>
        <w:spacing w:after="140" w:before="280"/>
      </w:pPr>
      <w:r>
        <w:rPr>
          <w:rFonts w:ascii="Arial" w:cs="Arial" w:eastAsia="Arial" w:hAnsi="Arial"/>
          <w:b/>
          <w:bCs/>
          <w:color w:val="2E75B6"/>
          <w:sz w:val="26"/>
          <w:szCs w:val="26"/>
        </w:rPr>
        <w:t xml:space="preserve">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Category</w:t>
            </w:r>
          </w:p>
        </w:tc>
        <w:tc>
          <w:tcPr>
            <w:tcW w:type="dxa" w:w="31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 A (Dev Team)</w:t>
            </w:r>
          </w:p>
        </w:tc>
        <w:tc>
          <w:tcPr>
            <w:tcW w:type="dxa" w:w="31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 B (Internal + 1 Dev)</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Development Team</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$71,000 – $124,000 (full platform)</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$20,000 – $40,000 (contracted dev only)</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Anthropic API (monthly, ongoing)</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 – $450 / month</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$110 – $450 / month</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Infrastructure (one-time or monthly)</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$2,000 – $5,000 or $150–$400/mo</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Same</w:t>
            </w:r>
          </w:p>
        </w:tc>
      </w:tr>
      <w:tr>
        <w:tc>
          <w:tcPr>
            <w:tcW w:type="dxa" w:w="300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Tools &amp; Licensing</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Minimal — mostly open source</w:t>
            </w:r>
          </w:p>
        </w:tc>
        <w:tc>
          <w:tcPr>
            <w:tcW w:type="dxa" w:w="3180"/>
            <w:tcBorders>
              <w:top w:val="single" w:color="BFBFBF" w:sz="1"/>
              <w:left w:val="single" w:color="BFBFBF" w:sz="1"/>
              <w:bottom w:val="single" w:color="BFBFBF" w:sz="1"/>
              <w:right w:val="single" w:color="BFBFBF"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Same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Estimated Total (first year)</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$85,000 – $140,000</w:t>
            </w:r>
          </w:p>
        </w:tc>
        <w:tc>
          <w:tcPr>
            <w:tcW w:type="dxa" w:w="31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$35,000 – $60,000</w:t>
            </w:r>
          </w:p>
        </w:tc>
      </w:tr>
    </w:tbl>
    <w:p>
      <w:pPr>
        <w:spacing w:after="60" w:before="60"/>
      </w:pPr>
      <w:r>
        <w:t xml:space="preserve"/>
      </w:r>
    </w:p>
    <w:p>
      <w:pPr>
        <w:spacing w:after="60" w:before="60"/>
      </w:pPr>
      <w:r>
        <w:rPr>
          <w:rFonts w:ascii="Arial" w:cs="Arial" w:eastAsia="Arial" w:hAnsi="Arial"/>
          <w:i/>
          <w:iCs/>
          <w:color w:val="000000"/>
          <w:sz w:val="22"/>
          <w:szCs w:val="22"/>
        </w:rPr>
        <w:t xml:space="preserve">All cost figures are indicative and should be validated with actual vendor quotes. Scenario B is the recommended starting point for BorderlessAccess given the strong internal domain expertise available across the research, operations, and bid management teams.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04040"/>
        <w:sz w:val="18"/>
        <w:szCs w:val="18"/>
      </w:rPr>
      <w:t xml:space="preserve">BorderlessAccess  |  May 2026</w:t>
    </w:r>
    <w:r>
      <w:rPr>
        <w:rFonts w:ascii="Arial" w:cs="Arial" w:eastAsia="Arial" w:hAnsi="Arial"/>
        <w:sz w:val="18"/>
        <w:szCs w:val="18"/>
      </w:rPr>
      <w:t xml:space="preserve">	</w:t>
    </w: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404040"/>
        <w:sz w:val="18"/>
        <w:szCs w:val="18"/>
      </w:rPr>
      <w:t xml:space="preserve">AI Transformation Proposal  —  BorderlessAccess</w:t>
    </w:r>
    <w:r>
      <w:rPr>
        <w:rFonts w:ascii="Arial" w:cs="Arial" w:eastAsia="Arial" w:hAnsi="Arial"/>
        <w:sz w:val="18"/>
        <w:szCs w:val="18"/>
      </w:rPr>
      <w:t xml:space="preserve">	</w:t>
    </w:r>
    <w:r>
      <w:rPr>
        <w:rFonts w:ascii="Arial" w:cs="Arial" w:eastAsia="Arial" w:hAnsi="Arial"/>
        <w:i/>
        <w:iCs/>
        <w:color w:val="40404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2026-05-04T05:20:46.581Z</dcterms:created>
  <dcterms:modified xsi:type="dcterms:W3CDTF">2026-05-04T05:20:46.582Z</dcterms:modified>
</cp:coreProperties>
</file>

<file path=docProps/custom.xml><?xml version="1.0" encoding="utf-8"?>
<Properties xmlns="http://schemas.openxmlformats.org/officeDocument/2006/custom-properties" xmlns:vt="http://schemas.openxmlformats.org/officeDocument/2006/docPropsVTypes"/>
</file>