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3A5C"/>
          <w:sz w:val="76"/>
        </w:rPr>
        <w:t>PanelIQ</w:t>
      </w:r>
    </w:p>
    <w:p>
      <w:pPr>
        <w:jc w:val="center"/>
      </w:pPr>
      <w:r>
        <w:rPr>
          <w:color w:val="0099CC"/>
          <w:sz w:val="40"/>
        </w:rPr>
        <w:t>IT Infrastructure Requirements</w:t>
      </w:r>
    </w:p>
    <w:p/>
    <w:p/>
    <w:p/>
    <w:p>
      <w:pPr>
        <w:jc w:val="center"/>
      </w:pPr>
      <w:r>
        <w:rPr>
          <w:color w:val="2D3748"/>
          <w:sz w:val="26"/>
        </w:rPr>
        <w:t>For review and action by the IT / Infrastructure team</w:t>
      </w:r>
    </w:p>
    <w:p>
      <w:pPr>
        <w:jc w:val="center"/>
      </w:pPr>
      <w:r>
        <w:rPr>
          <w:color w:val="718AA4"/>
          <w:sz w:val="24"/>
        </w:rPr>
        <w:t>Borderless Access  |  June 2026</w:t>
      </w:r>
    </w:p>
    <w:p>
      <w:pPr>
        <w:jc w:val="center"/>
      </w:pPr>
      <w:r>
        <w:rPr>
          <w:color w:val="718AA4"/>
          <w:sz w:val="22"/>
        </w:rPr>
        <w:t>Requestor: BA Panel Analytics  |  BA.PanelAnalytics@borderlessaccess.com</w:t>
      </w:r>
    </w:p>
    <w:p>
      <w:r>
        <w:br w:type="page"/>
      </w:r>
    </w:p>
    <w:p>
      <w:pPr>
        <w:pStyle w:val="Heading1"/>
      </w:pPr>
      <w:r>
        <w:rPr>
          <w:color w:val="1A3A5C"/>
        </w:rPr>
        <w:t>1.  Overview</w:t>
      </w:r>
    </w:p>
    <w:p>
      <w:r>
        <w:t>PanelIQ is an internal web application that enables BA team members to query panel survey data using plain English questions. The tool returns instant answers with charts, data tables, and AI-generated analyst summaries — without requiring SQL knowledge or relying on the Technology, Finance, or Analytics teams.</w:t>
      </w:r>
    </w:p>
    <w:p>
      <w:r>
        <w:t>The application consists of a Python/FastAPI backend, a React frontend, and connects to two SQL Server databases. A Proof of Concept has been developed and validated. This document outlines everything IT needs to provision and configure for a production deployment at paneliq.borderlessaccess.com.</w:t>
      </w:r>
    </w:p>
    <w:p/>
    <w:p>
      <w:pPr>
        <w:pStyle w:val="Heading1"/>
      </w:pPr>
      <w:r>
        <w:rPr>
          <w:color w:val="1A3A5C"/>
        </w:rPr>
        <w:t>2.  Server Requirements</w:t>
      </w:r>
    </w:p>
    <w:tbl>
      <w:tblPr>
        <w:tblStyle w:val="TableGrid"/>
        <w:tblW w:type="auto" w:w="0"/>
        <w:tblLook w:firstColumn="1" w:firstRow="1" w:lastColumn="0" w:lastRow="0" w:noHBand="0" w:noVBand="1" w:val="04A0"/>
      </w:tblPr>
      <w:tblGrid>
        <w:gridCol w:w="4392"/>
        <w:gridCol w:w="4392"/>
      </w:tblGrid>
      <w:tr>
        <w:tc>
          <w:tcPr>
            <w:tcW w:type="dxa" w:w="4392"/>
            <w:shd w:val="clear" w:color="auto" w:fill="1a3a5c"/>
          </w:tcPr>
          <w:p>
            <w:r>
              <w:rPr>
                <w:b/>
                <w:color w:val="FFFFFF"/>
                <w:sz w:val="20"/>
              </w:rPr>
              <w:t>Item</w:t>
            </w:r>
          </w:p>
        </w:tc>
        <w:tc>
          <w:tcPr>
            <w:tcW w:type="dxa" w:w="4392"/>
            <w:shd w:val="clear" w:color="auto" w:fill="1a3a5c"/>
          </w:tcPr>
          <w:p>
            <w:r>
              <w:rPr>
                <w:b/>
                <w:color w:val="FFFFFF"/>
                <w:sz w:val="20"/>
              </w:rPr>
              <w:t>Requirement</w:t>
            </w:r>
          </w:p>
        </w:tc>
      </w:tr>
      <w:tr>
        <w:tc>
          <w:tcPr>
            <w:tcW w:type="dxa" w:w="4392"/>
            <w:shd w:val="clear" w:color="auto" w:fill="f0f7fb"/>
          </w:tcPr>
          <w:p>
            <w:r>
              <w:rPr>
                <w:sz w:val="20"/>
              </w:rPr>
              <w:t>Operating System</w:t>
            </w:r>
          </w:p>
        </w:tc>
        <w:tc>
          <w:tcPr>
            <w:tcW w:type="dxa" w:w="4392"/>
            <w:shd w:val="clear" w:color="auto" w:fill="f0f7fb"/>
          </w:tcPr>
          <w:p>
            <w:r>
              <w:rPr>
                <w:sz w:val="20"/>
              </w:rPr>
              <w:t>Windows Server 2019/2022  or  Ubuntu 22.04 LTS</w:t>
            </w:r>
          </w:p>
        </w:tc>
      </w:tr>
      <w:tr>
        <w:tc>
          <w:tcPr>
            <w:tcW w:type="dxa" w:w="4392"/>
          </w:tcPr>
          <w:p>
            <w:r>
              <w:rPr>
                <w:sz w:val="20"/>
              </w:rPr>
              <w:t>CPU</w:t>
            </w:r>
          </w:p>
        </w:tc>
        <w:tc>
          <w:tcPr>
            <w:tcW w:type="dxa" w:w="4392"/>
          </w:tcPr>
          <w:p>
            <w:r>
              <w:rPr>
                <w:sz w:val="20"/>
              </w:rPr>
              <w:t>4 vCPUs minimum</w:t>
            </w:r>
          </w:p>
        </w:tc>
      </w:tr>
      <w:tr>
        <w:tc>
          <w:tcPr>
            <w:tcW w:type="dxa" w:w="4392"/>
            <w:shd w:val="clear" w:color="auto" w:fill="f0f7fb"/>
          </w:tcPr>
          <w:p>
            <w:r>
              <w:rPr>
                <w:sz w:val="20"/>
              </w:rPr>
              <w:t>RAM</w:t>
            </w:r>
          </w:p>
        </w:tc>
        <w:tc>
          <w:tcPr>
            <w:tcW w:type="dxa" w:w="4392"/>
            <w:shd w:val="clear" w:color="auto" w:fill="f0f7fb"/>
          </w:tcPr>
          <w:p>
            <w:r>
              <w:rPr>
                <w:sz w:val="20"/>
              </w:rPr>
              <w:t>8 GB minimum  (16 GB recommended)</w:t>
            </w:r>
          </w:p>
        </w:tc>
      </w:tr>
      <w:tr>
        <w:tc>
          <w:tcPr>
            <w:tcW w:type="dxa" w:w="4392"/>
          </w:tcPr>
          <w:p>
            <w:r>
              <w:rPr>
                <w:sz w:val="20"/>
              </w:rPr>
              <w:t>Disk</w:t>
            </w:r>
          </w:p>
        </w:tc>
        <w:tc>
          <w:tcPr>
            <w:tcW w:type="dxa" w:w="4392"/>
          </w:tcPr>
          <w:p>
            <w:r>
              <w:rPr>
                <w:sz w:val="20"/>
              </w:rPr>
              <w:t>50 GB</w:t>
            </w:r>
          </w:p>
        </w:tc>
      </w:tr>
      <w:tr>
        <w:tc>
          <w:tcPr>
            <w:tcW w:type="dxa" w:w="4392"/>
            <w:shd w:val="clear" w:color="auto" w:fill="f0f7fb"/>
          </w:tcPr>
          <w:p>
            <w:r>
              <w:rPr>
                <w:sz w:val="20"/>
              </w:rPr>
              <w:t>Network</w:t>
            </w:r>
          </w:p>
        </w:tc>
        <w:tc>
          <w:tcPr>
            <w:tcW w:type="dxa" w:w="4392"/>
            <w:shd w:val="clear" w:color="auto" w:fill="f0f7fb"/>
          </w:tcPr>
          <w:p>
            <w:r>
              <w:rPr>
                <w:sz w:val="20"/>
              </w:rPr>
              <w:t>Internal network access to SQL Server at 10.20.30.12</w:t>
            </w:r>
          </w:p>
        </w:tc>
      </w:tr>
    </w:tbl>
    <w:p/>
    <w:p>
      <w:pPr>
        <w:pStyle w:val="Heading1"/>
      </w:pPr>
      <w:r>
        <w:rPr>
          <w:color w:val="1A3A5C"/>
        </w:rPr>
        <w:t>3.  Software to Install on Server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3a5c"/>
          </w:tcPr>
          <w:p>
            <w:r>
              <w:rPr>
                <w:b/>
                <w:color w:val="FFFFFF"/>
                <w:sz w:val="20"/>
              </w:rPr>
              <w:t>Software</w:t>
            </w:r>
          </w:p>
        </w:tc>
        <w:tc>
          <w:tcPr>
            <w:tcW w:type="dxa" w:w="2928"/>
            <w:shd w:val="clear" w:color="auto" w:fill="1a3a5c"/>
          </w:tcPr>
          <w:p>
            <w:r>
              <w:rPr>
                <w:b/>
                <w:color w:val="FFFFFF"/>
                <w:sz w:val="20"/>
              </w:rPr>
              <w:t>Version</w:t>
            </w:r>
          </w:p>
        </w:tc>
        <w:tc>
          <w:tcPr>
            <w:tcW w:type="dxa" w:w="2928"/>
            <w:shd w:val="clear" w:color="auto" w:fill="1a3a5c"/>
          </w:tcPr>
          <w:p>
            <w:r>
              <w:rPr>
                <w:b/>
                <w:color w:val="FFFFFF"/>
                <w:sz w:val="20"/>
              </w:rPr>
              <w:t>Purpose</w:t>
            </w:r>
          </w:p>
        </w:tc>
      </w:tr>
      <w:tr>
        <w:tc>
          <w:tcPr>
            <w:tcW w:type="dxa" w:w="2928"/>
            <w:shd w:val="clear" w:color="auto" w:fill="1a3a5c"/>
          </w:tcPr>
          <w:p>
            <w:r>
              <w:rPr>
                <w:b/>
                <w:color w:val="FFFFFF"/>
                <w:sz w:val="20"/>
              </w:rPr>
              <w:t>Python</w:t>
            </w:r>
          </w:p>
        </w:tc>
        <w:tc>
          <w:tcPr>
            <w:tcW w:type="dxa" w:w="2928"/>
            <w:shd w:val="clear" w:color="auto" w:fill="f0f7fb"/>
          </w:tcPr>
          <w:p>
            <w:r>
              <w:rPr>
                <w:sz w:val="20"/>
              </w:rPr>
              <w:t>3.11 or higher</w:t>
            </w:r>
          </w:p>
        </w:tc>
        <w:tc>
          <w:tcPr>
            <w:tcW w:type="dxa" w:w="2928"/>
            <w:shd w:val="clear" w:color="auto" w:fill="f0f7fb"/>
          </w:tcPr>
          <w:p>
            <w:r>
              <w:rPr>
                <w:sz w:val="20"/>
              </w:rPr>
              <w:t>Backend runtime — required at all times</w:t>
            </w:r>
          </w:p>
        </w:tc>
      </w:tr>
      <w:tr>
        <w:tc>
          <w:tcPr>
            <w:tcW w:type="dxa" w:w="2928"/>
            <w:shd w:val="clear" w:color="auto" w:fill="1a3a5c"/>
          </w:tcPr>
          <w:p>
            <w:r>
              <w:rPr>
                <w:b/>
                <w:color w:val="FFFFFF"/>
                <w:sz w:val="20"/>
              </w:rPr>
              <w:t>pip</w:t>
            </w:r>
          </w:p>
        </w:tc>
        <w:tc>
          <w:tcPr>
            <w:tcW w:type="dxa" w:w="2928"/>
          </w:tcPr>
          <w:p>
            <w:r>
              <w:rPr>
                <w:sz w:val="20"/>
              </w:rPr>
              <w:t>Latest</w:t>
            </w:r>
          </w:p>
        </w:tc>
        <w:tc>
          <w:tcPr>
            <w:tcW w:type="dxa" w:w="2928"/>
          </w:tcPr>
          <w:p>
            <w:r>
              <w:rPr>
                <w:sz w:val="20"/>
              </w:rPr>
              <w:t>Python package manager</w:t>
            </w:r>
          </w:p>
        </w:tc>
      </w:tr>
      <w:tr>
        <w:tc>
          <w:tcPr>
            <w:tcW w:type="dxa" w:w="2928"/>
            <w:shd w:val="clear" w:color="auto" w:fill="1a3a5c"/>
          </w:tcPr>
          <w:p>
            <w:r>
              <w:rPr>
                <w:b/>
                <w:color w:val="FFFFFF"/>
                <w:sz w:val="20"/>
              </w:rPr>
              <w:t>Node.js</w:t>
            </w:r>
          </w:p>
        </w:tc>
        <w:tc>
          <w:tcPr>
            <w:tcW w:type="dxa" w:w="2928"/>
            <w:shd w:val="clear" w:color="auto" w:fill="f0f7fb"/>
          </w:tcPr>
          <w:p>
            <w:r>
              <w:rPr>
                <w:sz w:val="20"/>
              </w:rPr>
              <w:t>18 or higher</w:t>
            </w:r>
          </w:p>
        </w:tc>
        <w:tc>
          <w:tcPr>
            <w:tcW w:type="dxa" w:w="2928"/>
            <w:shd w:val="clear" w:color="auto" w:fill="f0f7fb"/>
          </w:tcPr>
          <w:p>
            <w:r>
              <w:rPr>
                <w:sz w:val="20"/>
              </w:rPr>
              <w:t>Frontend build only — not required at runtime after build</w:t>
            </w:r>
          </w:p>
        </w:tc>
      </w:tr>
      <w:tr>
        <w:tc>
          <w:tcPr>
            <w:tcW w:type="dxa" w:w="2928"/>
            <w:shd w:val="clear" w:color="auto" w:fill="1a3a5c"/>
          </w:tcPr>
          <w:p>
            <w:r>
              <w:rPr>
                <w:b/>
                <w:color w:val="FFFFFF"/>
                <w:sz w:val="20"/>
              </w:rPr>
              <w:t>ODBC Driver for SQL Server</w:t>
            </w:r>
          </w:p>
        </w:tc>
        <w:tc>
          <w:tcPr>
            <w:tcW w:type="dxa" w:w="2928"/>
          </w:tcPr>
          <w:p>
            <w:r>
              <w:rPr>
                <w:sz w:val="20"/>
              </w:rPr>
              <w:t>Version 17</w:t>
            </w:r>
          </w:p>
        </w:tc>
        <w:tc>
          <w:tcPr>
            <w:tcW w:type="dxa" w:w="2928"/>
          </w:tcPr>
          <w:p>
            <w:r>
              <w:rPr>
                <w:sz w:val="20"/>
              </w:rPr>
              <w:t>Database connectivity from Python to SQL Server</w:t>
            </w:r>
          </w:p>
        </w:tc>
      </w:tr>
      <w:tr>
        <w:tc>
          <w:tcPr>
            <w:tcW w:type="dxa" w:w="2928"/>
            <w:shd w:val="clear" w:color="auto" w:fill="1a3a5c"/>
          </w:tcPr>
          <w:p>
            <w:r>
              <w:rPr>
                <w:b/>
                <w:color w:val="FFFFFF"/>
                <w:sz w:val="20"/>
              </w:rPr>
              <w:t>Nginx</w:t>
            </w:r>
          </w:p>
        </w:tc>
        <w:tc>
          <w:tcPr>
            <w:tcW w:type="dxa" w:w="2928"/>
            <w:shd w:val="clear" w:color="auto" w:fill="f0f7fb"/>
          </w:tcPr>
          <w:p>
            <w:r>
              <w:rPr>
                <w:sz w:val="20"/>
              </w:rPr>
              <w:t>Latest stable</w:t>
            </w:r>
          </w:p>
        </w:tc>
        <w:tc>
          <w:tcPr>
            <w:tcW w:type="dxa" w:w="2928"/>
            <w:shd w:val="clear" w:color="auto" w:fill="f0f7fb"/>
          </w:tcPr>
          <w:p>
            <w:r>
              <w:rPr>
                <w:sz w:val="20"/>
              </w:rPr>
              <w:t>Reverse proxy + serving React static files</w:t>
            </w:r>
          </w:p>
        </w:tc>
      </w:tr>
      <w:tr>
        <w:tc>
          <w:tcPr>
            <w:tcW w:type="dxa" w:w="2928"/>
            <w:shd w:val="clear" w:color="auto" w:fill="1a3a5c"/>
          </w:tcPr>
          <w:p>
            <w:r>
              <w:rPr>
                <w:b/>
                <w:color w:val="FFFFFF"/>
                <w:sz w:val="20"/>
              </w:rPr>
              <w:t>NSSM</w:t>
            </w:r>
          </w:p>
        </w:tc>
        <w:tc>
          <w:tcPr>
            <w:tcW w:type="dxa" w:w="2928"/>
          </w:tcPr>
          <w:p>
            <w:r>
              <w:rPr>
                <w:sz w:val="20"/>
              </w:rPr>
              <w:t>Latest</w:t>
            </w:r>
          </w:p>
        </w:tc>
        <w:tc>
          <w:tcPr>
            <w:tcW w:type="dxa" w:w="2928"/>
          </w:tcPr>
          <w:p>
            <w:r>
              <w:rPr>
                <w:sz w:val="20"/>
              </w:rPr>
              <w:t>Windows only — run FastAPI as a Windows Service</w:t>
            </w:r>
          </w:p>
        </w:tc>
      </w:tr>
    </w:tbl>
    <w:p/>
    <w:p>
      <w:pPr>
        <w:pStyle w:val="Heading1"/>
      </w:pPr>
      <w:r>
        <w:rPr>
          <w:color w:val="1A3A5C"/>
        </w:rPr>
        <w:t>4.  Network &amp; DNS Requirements</w:t>
      </w:r>
    </w:p>
    <w:tbl>
      <w:tblPr>
        <w:tblStyle w:val="TableGrid"/>
        <w:tblW w:type="auto" w:w="0"/>
        <w:tblLook w:firstColumn="1" w:firstRow="1" w:lastColumn="0" w:lastRow="0" w:noHBand="0" w:noVBand="1" w:val="04A0"/>
      </w:tblPr>
      <w:tblGrid>
        <w:gridCol w:w="4392"/>
        <w:gridCol w:w="4392"/>
      </w:tblGrid>
      <w:tr>
        <w:tc>
          <w:tcPr>
            <w:tcW w:type="dxa" w:w="4392"/>
            <w:shd w:val="clear" w:color="auto" w:fill="1a3a5c"/>
          </w:tcPr>
          <w:p>
            <w:r>
              <w:rPr>
                <w:b/>
                <w:color w:val="FFFFFF"/>
                <w:sz w:val="20"/>
              </w:rPr>
              <w:t>Item</w:t>
            </w:r>
          </w:p>
        </w:tc>
        <w:tc>
          <w:tcPr>
            <w:tcW w:type="dxa" w:w="4392"/>
            <w:shd w:val="clear" w:color="auto" w:fill="1a3a5c"/>
          </w:tcPr>
          <w:p>
            <w:r>
              <w:rPr>
                <w:b/>
                <w:color w:val="FFFFFF"/>
                <w:sz w:val="20"/>
              </w:rPr>
              <w:t>Detail</w:t>
            </w:r>
          </w:p>
        </w:tc>
      </w:tr>
      <w:tr>
        <w:tc>
          <w:tcPr>
            <w:tcW w:type="dxa" w:w="4392"/>
            <w:shd w:val="clear" w:color="auto" w:fill="f0f7fb"/>
          </w:tcPr>
          <w:p>
            <w:r>
              <w:rPr>
                <w:sz w:val="20"/>
              </w:rPr>
              <w:t>Subdomain</w:t>
            </w:r>
          </w:p>
        </w:tc>
        <w:tc>
          <w:tcPr>
            <w:tcW w:type="dxa" w:w="4392"/>
            <w:shd w:val="clear" w:color="auto" w:fill="f0f7fb"/>
          </w:tcPr>
          <w:p>
            <w:r>
              <w:rPr>
                <w:sz w:val="20"/>
              </w:rPr>
              <w:t>paneliq.borderlessaccess.com</w:t>
            </w:r>
          </w:p>
        </w:tc>
      </w:tr>
      <w:tr>
        <w:tc>
          <w:tcPr>
            <w:tcW w:type="dxa" w:w="4392"/>
          </w:tcPr>
          <w:p>
            <w:r>
              <w:rPr>
                <w:sz w:val="20"/>
              </w:rPr>
              <w:t>SSL Certificate</w:t>
            </w:r>
          </w:p>
        </w:tc>
        <w:tc>
          <w:tcPr>
            <w:tcW w:type="dxa" w:w="4392"/>
          </w:tcPr>
          <w:p>
            <w:r>
              <w:rPr>
                <w:sz w:val="20"/>
              </w:rPr>
              <w:t>Required — internal CA certificate or Let's Encrypt (if externally reachable)</w:t>
            </w:r>
          </w:p>
        </w:tc>
      </w:tr>
      <w:tr>
        <w:tc>
          <w:tcPr>
            <w:tcW w:type="dxa" w:w="4392"/>
            <w:shd w:val="clear" w:color="auto" w:fill="f0f7fb"/>
          </w:tcPr>
          <w:p>
            <w:r>
              <w:rPr>
                <w:sz w:val="20"/>
              </w:rPr>
              <w:t>Port 80</w:t>
            </w:r>
          </w:p>
        </w:tc>
        <w:tc>
          <w:tcPr>
            <w:tcW w:type="dxa" w:w="4392"/>
            <w:shd w:val="clear" w:color="auto" w:fill="f0f7fb"/>
          </w:tcPr>
          <w:p>
            <w:r>
              <w:rPr>
                <w:sz w:val="20"/>
              </w:rPr>
              <w:t>HTTP — redirect all traffic to HTTPS</w:t>
            </w:r>
          </w:p>
        </w:tc>
      </w:tr>
      <w:tr>
        <w:tc>
          <w:tcPr>
            <w:tcW w:type="dxa" w:w="4392"/>
          </w:tcPr>
          <w:p>
            <w:r>
              <w:rPr>
                <w:sz w:val="20"/>
              </w:rPr>
              <w:t>Port 443</w:t>
            </w:r>
          </w:p>
        </w:tc>
        <w:tc>
          <w:tcPr>
            <w:tcW w:type="dxa" w:w="4392"/>
          </w:tcPr>
          <w:p>
            <w:r>
              <w:rPr>
                <w:sz w:val="20"/>
              </w:rPr>
              <w:t>HTTPS — served by Nginx</w:t>
            </w:r>
          </w:p>
        </w:tc>
      </w:tr>
      <w:tr>
        <w:tc>
          <w:tcPr>
            <w:tcW w:type="dxa" w:w="4392"/>
            <w:shd w:val="clear" w:color="auto" w:fill="f0f7fb"/>
          </w:tcPr>
          <w:p>
            <w:r>
              <w:rPr>
                <w:sz w:val="20"/>
              </w:rPr>
              <w:t>Port 8000</w:t>
            </w:r>
          </w:p>
        </w:tc>
        <w:tc>
          <w:tcPr>
            <w:tcW w:type="dxa" w:w="4392"/>
            <w:shd w:val="clear" w:color="auto" w:fill="f0f7fb"/>
          </w:tcPr>
          <w:p>
            <w:r>
              <w:rPr>
                <w:sz w:val="20"/>
              </w:rPr>
              <w:t>Internal only — FastAPI backend. Must NOT be exposed externally.</w:t>
            </w:r>
          </w:p>
        </w:tc>
      </w:tr>
      <w:tr>
        <w:tc>
          <w:tcPr>
            <w:tcW w:type="dxa" w:w="4392"/>
          </w:tcPr>
          <w:p>
            <w:r>
              <w:rPr>
                <w:sz w:val="20"/>
              </w:rPr>
              <w:t>Firewall Outbound</w:t>
            </w:r>
          </w:p>
        </w:tc>
        <w:tc>
          <w:tcPr>
            <w:tcW w:type="dxa" w:w="4392"/>
          </w:tcPr>
          <w:p>
            <w:r>
              <w:rPr>
                <w:sz w:val="20"/>
              </w:rPr>
              <w:t>10.20.30.12:1433 — SQL Server (KpiReports, existing analytics database)</w:t>
            </w:r>
          </w:p>
        </w:tc>
      </w:tr>
      <w:tr>
        <w:tc>
          <w:tcPr>
            <w:tcW w:type="dxa" w:w="4392"/>
            <w:shd w:val="clear" w:color="auto" w:fill="f0f7fb"/>
          </w:tcPr>
          <w:p>
            <w:r>
              <w:rPr>
                <w:sz w:val="20"/>
              </w:rPr>
              <w:t>Firewall Outbound</w:t>
            </w:r>
          </w:p>
        </w:tc>
        <w:tc>
          <w:tcPr>
            <w:tcW w:type="dxa" w:w="4392"/>
            <w:shd w:val="clear" w:color="auto" w:fill="f0f7fb"/>
          </w:tcPr>
          <w:p>
            <w:r>
              <w:rPr>
                <w:sz w:val="20"/>
              </w:rPr>
              <w:t>api.anthropic.com:443 — Claude AI API (outbound HTTPS, required for AI functionality)</w:t>
            </w:r>
          </w:p>
        </w:tc>
      </w:tr>
    </w:tbl>
    <w:p>
      <w:r>
        <w:rPr>
          <w:b/>
          <w:color w:val="1A3A5C"/>
        </w:rPr>
        <w:t xml:space="preserve">Note: </w:t>
      </w:r>
      <w:r>
        <w:rPr>
          <w:color w:val="2D3748"/>
          <w:sz w:val="21"/>
        </w:rPr>
        <w:t>The outbound connection to api.anthropic.com:443 is essential. If this is blocked by a firewall or proxy, the AI functionality will not work. Please confirm with the network team that this outbound HTTPS call is permitted.</w:t>
      </w:r>
    </w:p>
    <w:p/>
    <w:p>
      <w:pPr>
        <w:pStyle w:val="Heading1"/>
      </w:pPr>
      <w:r>
        <w:rPr>
          <w:color w:val="1A3A5C"/>
        </w:rPr>
        <w:t>5.  Database Requirements</w:t>
      </w:r>
    </w:p>
    <w:p>
      <w:pPr>
        <w:pStyle w:val="Heading2"/>
      </w:pPr>
      <w:r>
        <w:rPr>
          <w:color w:val="0099CC"/>
        </w:rPr>
        <w:t>5.1  DB 1 — KpiReports  (Existing, Read-Only)</w:t>
      </w:r>
    </w:p>
    <w:tbl>
      <w:tblPr>
        <w:tblStyle w:val="TableGrid"/>
        <w:tblW w:type="auto" w:w="0"/>
        <w:tblLook w:firstColumn="1" w:firstRow="1" w:lastColumn="0" w:lastRow="0" w:noHBand="0" w:noVBand="1" w:val="04A0"/>
      </w:tblPr>
      <w:tblGrid>
        <w:gridCol w:w="4392"/>
        <w:gridCol w:w="4392"/>
      </w:tblGrid>
      <w:tr>
        <w:tc>
          <w:tcPr>
            <w:tcW w:type="dxa" w:w="4392"/>
            <w:shd w:val="clear" w:color="auto" w:fill="1a3a5c"/>
          </w:tcPr>
          <w:p>
            <w:r>
              <w:rPr>
                <w:b/>
                <w:color w:val="FFFFFF"/>
                <w:sz w:val="20"/>
              </w:rPr>
              <w:t>Item</w:t>
            </w:r>
          </w:p>
        </w:tc>
        <w:tc>
          <w:tcPr>
            <w:tcW w:type="dxa" w:w="4392"/>
            <w:shd w:val="clear" w:color="auto" w:fill="1a3a5c"/>
          </w:tcPr>
          <w:p>
            <w:r>
              <w:rPr>
                <w:b/>
                <w:color w:val="FFFFFF"/>
                <w:sz w:val="20"/>
              </w:rPr>
              <w:t>Detail</w:t>
            </w:r>
          </w:p>
        </w:tc>
      </w:tr>
      <w:tr>
        <w:tc>
          <w:tcPr>
            <w:tcW w:type="dxa" w:w="4392"/>
            <w:shd w:val="clear" w:color="auto" w:fill="f0f7fb"/>
          </w:tcPr>
          <w:p>
            <w:r>
              <w:rPr>
                <w:sz w:val="20"/>
              </w:rPr>
              <w:t>Server</w:t>
            </w:r>
          </w:p>
        </w:tc>
        <w:tc>
          <w:tcPr>
            <w:tcW w:type="dxa" w:w="4392"/>
            <w:shd w:val="clear" w:color="auto" w:fill="f0f7fb"/>
          </w:tcPr>
          <w:p>
            <w:r>
              <w:rPr>
                <w:sz w:val="20"/>
              </w:rPr>
              <w:t>10.20.30.12,1433</w:t>
            </w:r>
          </w:p>
        </w:tc>
      </w:tr>
      <w:tr>
        <w:tc>
          <w:tcPr>
            <w:tcW w:type="dxa" w:w="4392"/>
          </w:tcPr>
          <w:p>
            <w:r>
              <w:rPr>
                <w:sz w:val="20"/>
              </w:rPr>
              <w:t>Database</w:t>
            </w:r>
          </w:p>
        </w:tc>
        <w:tc>
          <w:tcPr>
            <w:tcW w:type="dxa" w:w="4392"/>
          </w:tcPr>
          <w:p>
            <w:r>
              <w:rPr>
                <w:sz w:val="20"/>
              </w:rPr>
              <w:t>KpiReports</w:t>
            </w:r>
          </w:p>
        </w:tc>
      </w:tr>
      <w:tr>
        <w:tc>
          <w:tcPr>
            <w:tcW w:type="dxa" w:w="4392"/>
            <w:shd w:val="clear" w:color="auto" w:fill="f0f7fb"/>
          </w:tcPr>
          <w:p>
            <w:r>
              <w:rPr>
                <w:sz w:val="20"/>
              </w:rPr>
              <w:t>Access Type</w:t>
            </w:r>
          </w:p>
        </w:tc>
        <w:tc>
          <w:tcPr>
            <w:tcW w:type="dxa" w:w="4392"/>
            <w:shd w:val="clear" w:color="auto" w:fill="f0f7fb"/>
          </w:tcPr>
          <w:p>
            <w:r>
              <w:rPr>
                <w:sz w:val="20"/>
              </w:rPr>
              <w:t>Read-only</w:t>
            </w:r>
          </w:p>
        </w:tc>
      </w:tr>
      <w:tr>
        <w:tc>
          <w:tcPr>
            <w:tcW w:type="dxa" w:w="4392"/>
          </w:tcPr>
          <w:p>
            <w:r>
              <w:rPr>
                <w:sz w:val="20"/>
              </w:rPr>
              <w:t>Views Used</w:t>
            </w:r>
          </w:p>
        </w:tc>
        <w:tc>
          <w:tcPr>
            <w:tcW w:type="dxa" w:w="4392"/>
          </w:tcPr>
          <w:p>
            <w:r>
              <w:rPr>
                <w:sz w:val="20"/>
              </w:rPr>
              <w:t>KPISurveyData, KPIReportProjectData, KPIsurveydataExternal</w:t>
            </w:r>
          </w:p>
        </w:tc>
      </w:tr>
      <w:tr>
        <w:tc>
          <w:tcPr>
            <w:tcW w:type="dxa" w:w="4392"/>
            <w:shd w:val="clear" w:color="auto" w:fill="f0f7fb"/>
          </w:tcPr>
          <w:p>
            <w:r>
              <w:rPr>
                <w:sz w:val="20"/>
              </w:rPr>
              <w:t>Credentials</w:t>
            </w:r>
          </w:p>
        </w:tc>
        <w:tc>
          <w:tcPr>
            <w:tcW w:type="dxa" w:w="4392"/>
            <w:shd w:val="clear" w:color="auto" w:fill="f0f7fb"/>
          </w:tcPr>
          <w:p>
            <w:r>
              <w:rPr>
                <w:sz w:val="20"/>
              </w:rPr>
              <w:t>Existing KPIUser credentials — please confirm these remain valid from the new server</w:t>
            </w:r>
          </w:p>
        </w:tc>
      </w:tr>
    </w:tbl>
    <w:p/>
    <w:p>
      <w:pPr>
        <w:pStyle w:val="Heading2"/>
      </w:pPr>
      <w:r>
        <w:rPr>
          <w:color w:val="0099CC"/>
        </w:rPr>
        <w:t>5.2  DB 2 — PanelIQ User Database  (New — IT to Create)</w:t>
      </w:r>
    </w:p>
    <w:tbl>
      <w:tblPr>
        <w:tblStyle w:val="TableGrid"/>
        <w:tblW w:type="auto" w:w="0"/>
        <w:tblLook w:firstColumn="1" w:firstRow="1" w:lastColumn="0" w:lastRow="0" w:noHBand="0" w:noVBand="1" w:val="04A0"/>
      </w:tblPr>
      <w:tblGrid>
        <w:gridCol w:w="4392"/>
        <w:gridCol w:w="4392"/>
      </w:tblGrid>
      <w:tr>
        <w:tc>
          <w:tcPr>
            <w:tcW w:type="dxa" w:w="4392"/>
            <w:shd w:val="clear" w:color="auto" w:fill="1a3a5c"/>
          </w:tcPr>
          <w:p>
            <w:r>
              <w:rPr>
                <w:b/>
                <w:color w:val="FFFFFF"/>
                <w:sz w:val="20"/>
              </w:rPr>
              <w:t>Item</w:t>
            </w:r>
          </w:p>
        </w:tc>
        <w:tc>
          <w:tcPr>
            <w:tcW w:type="dxa" w:w="4392"/>
            <w:shd w:val="clear" w:color="auto" w:fill="1a3a5c"/>
          </w:tcPr>
          <w:p>
            <w:r>
              <w:rPr>
                <w:b/>
                <w:color w:val="FFFFFF"/>
                <w:sz w:val="20"/>
              </w:rPr>
              <w:t>Detail</w:t>
            </w:r>
          </w:p>
        </w:tc>
      </w:tr>
      <w:tr>
        <w:tc>
          <w:tcPr>
            <w:tcW w:type="dxa" w:w="4392"/>
            <w:shd w:val="clear" w:color="auto" w:fill="f0f7fb"/>
          </w:tcPr>
          <w:p>
            <w:r>
              <w:rPr>
                <w:sz w:val="20"/>
              </w:rPr>
              <w:t>Server</w:t>
            </w:r>
          </w:p>
        </w:tc>
        <w:tc>
          <w:tcPr>
            <w:tcW w:type="dxa" w:w="4392"/>
            <w:shd w:val="clear" w:color="auto" w:fill="f0f7fb"/>
          </w:tcPr>
          <w:p>
            <w:r>
              <w:rPr>
                <w:sz w:val="20"/>
              </w:rPr>
              <w:t>TBD — can be the same SQL Server instance as KpiReports</w:t>
            </w:r>
          </w:p>
        </w:tc>
      </w:tr>
      <w:tr>
        <w:tc>
          <w:tcPr>
            <w:tcW w:type="dxa" w:w="4392"/>
          </w:tcPr>
          <w:p>
            <w:r>
              <w:rPr>
                <w:sz w:val="20"/>
              </w:rPr>
              <w:t>Suggested DB Name</w:t>
            </w:r>
          </w:p>
        </w:tc>
        <w:tc>
          <w:tcPr>
            <w:tcW w:type="dxa" w:w="4392"/>
          </w:tcPr>
          <w:p>
            <w:r>
              <w:rPr>
                <w:sz w:val="20"/>
              </w:rPr>
              <w:t>PanelIQ_Users  (or as per IT naming convention)</w:t>
            </w:r>
          </w:p>
        </w:tc>
      </w:tr>
      <w:tr>
        <w:tc>
          <w:tcPr>
            <w:tcW w:type="dxa" w:w="4392"/>
            <w:shd w:val="clear" w:color="auto" w:fill="f0f7fb"/>
          </w:tcPr>
          <w:p>
            <w:r>
              <w:rPr>
                <w:sz w:val="20"/>
              </w:rPr>
              <w:t>Access Type</w:t>
            </w:r>
          </w:p>
        </w:tc>
        <w:tc>
          <w:tcPr>
            <w:tcW w:type="dxa" w:w="4392"/>
            <w:shd w:val="clear" w:color="auto" w:fill="f0f7fb"/>
          </w:tcPr>
          <w:p>
            <w:r>
              <w:rPr>
                <w:sz w:val="20"/>
              </w:rPr>
              <w:t>Read and write</w:t>
            </w:r>
          </w:p>
        </w:tc>
      </w:tr>
      <w:tr>
        <w:tc>
          <w:tcPr>
            <w:tcW w:type="dxa" w:w="4392"/>
          </w:tcPr>
          <w:p>
            <w:r>
              <w:rPr>
                <w:sz w:val="20"/>
              </w:rPr>
              <w:t>Tables Required</w:t>
            </w:r>
          </w:p>
        </w:tc>
        <w:tc>
          <w:tcPr>
            <w:tcW w:type="dxa" w:w="4392"/>
          </w:tcPr>
          <w:p>
            <w:r>
              <w:rPr>
                <w:sz w:val="20"/>
              </w:rPr>
              <w:t>Schema will be provided by the BA Analytics team (see below)</w:t>
            </w:r>
          </w:p>
        </w:tc>
      </w:tr>
    </w:tbl>
    <w:p/>
    <w:p>
      <w:r>
        <w:rPr>
          <w:b/>
          <w:color w:val="1A3A5C"/>
          <w:sz w:val="22"/>
        </w:rPr>
        <w:t>Tables needed in PanelIQ_Users:</w:t>
      </w:r>
    </w:p>
    <w:p>
      <w:pPr>
        <w:pStyle w:val="ListBullet"/>
      </w:pPr>
      <w:r>
        <w:rPr>
          <w:b/>
          <w:color w:val="1A3A5C"/>
          <w:sz w:val="21"/>
        </w:rPr>
        <w:t xml:space="preserve">Users: </w:t>
      </w:r>
      <w:r>
        <w:rPr>
          <w:sz w:val="21"/>
        </w:rPr>
        <w:t>Login accounts, roles, business unit assignment, password hashes</w:t>
      </w:r>
    </w:p>
    <w:p>
      <w:pPr>
        <w:pStyle w:val="ListBullet"/>
      </w:pPr>
      <w:r>
        <w:rPr>
          <w:b/>
          <w:color w:val="1A3A5C"/>
          <w:sz w:val="21"/>
        </w:rPr>
        <w:t xml:space="preserve">QueryHistory: </w:t>
      </w:r>
      <w:r>
        <w:rPr>
          <w:sz w:val="21"/>
        </w:rPr>
        <w:t>Log of questions asked by each user — used for personalised suggestions</w:t>
      </w:r>
    </w:p>
    <w:p>
      <w:pPr>
        <w:pStyle w:val="ListBullet"/>
      </w:pPr>
      <w:r>
        <w:rPr>
          <w:b/>
          <w:color w:val="1A3A5C"/>
          <w:sz w:val="21"/>
        </w:rPr>
        <w:t xml:space="preserve">AccessRules: </w:t>
      </w:r>
      <w:r>
        <w:rPr>
          <w:sz w:val="21"/>
        </w:rPr>
        <w:t>Row-level and field-level access control configuration per user/role</w:t>
      </w:r>
    </w:p>
    <w:p>
      <w:r>
        <w:rPr>
          <w:i/>
          <w:color w:val="2D3748"/>
          <w:sz w:val="21"/>
        </w:rPr>
        <w:t>The BA Analytics team will provide the full SQL schema (CREATE TABLE scripts) separately.</w:t>
      </w:r>
    </w:p>
    <w:p/>
    <w:p>
      <w:pPr>
        <w:pStyle w:val="Heading1"/>
      </w:pPr>
      <w:r>
        <w:rPr>
          <w:color w:val="1A3A5C"/>
        </w:rPr>
        <w:t>6.  Environment Variables / Secrets</w:t>
      </w:r>
    </w:p>
    <w:p>
      <w:r>
        <w:t>The following values must be stored securely on the server as environment variables or in a secured .env file. They must NOT be stored in the application code or version control.</w:t>
      </w:r>
    </w:p>
    <w:p>
      <w:pPr>
        <w:ind w:left="720"/>
      </w:pPr>
      <w:r>
        <w:rPr>
          <w:rFonts w:ascii="Courier New" w:hAnsi="Courier New"/>
          <w:color w:val="2D3748"/>
          <w:sz w:val="19"/>
        </w:rPr>
        <w:t>ANTHROPIC_API_KEY=&lt;provided by BA Analytics&gt;</w:t>
      </w:r>
    </w:p>
    <w:p>
      <w:pPr>
        <w:ind w:left="720"/>
      </w:pPr>
      <w:r>
        <w:rPr>
          <w:rFonts w:ascii="Courier New" w:hAnsi="Courier New"/>
          <w:color w:val="2D3748"/>
          <w:sz w:val="19"/>
        </w:rPr>
      </w:r>
    </w:p>
    <w:p>
      <w:pPr>
        <w:ind w:left="720"/>
      </w:pPr>
      <w:r>
        <w:rPr>
          <w:rFonts w:ascii="Courier New" w:hAnsi="Courier New"/>
          <w:color w:val="2D3748"/>
          <w:sz w:val="19"/>
        </w:rPr>
        <w:t># KpiReports — read-only analytics database</w:t>
      </w:r>
    </w:p>
    <w:p>
      <w:pPr>
        <w:ind w:left="720"/>
      </w:pPr>
      <w:r>
        <w:rPr>
          <w:rFonts w:ascii="Courier New" w:hAnsi="Courier New"/>
          <w:color w:val="2D3748"/>
          <w:sz w:val="19"/>
        </w:rPr>
        <w:t>DB_SERVER=10.20.30.12,1433</w:t>
      </w:r>
    </w:p>
    <w:p>
      <w:pPr>
        <w:ind w:left="720"/>
      </w:pPr>
      <w:r>
        <w:rPr>
          <w:rFonts w:ascii="Courier New" w:hAnsi="Courier New"/>
          <w:color w:val="2D3748"/>
          <w:sz w:val="19"/>
        </w:rPr>
        <w:t>DB_NAME=KpiReports</w:t>
      </w:r>
    </w:p>
    <w:p>
      <w:pPr>
        <w:ind w:left="720"/>
      </w:pPr>
      <w:r>
        <w:rPr>
          <w:rFonts w:ascii="Courier New" w:hAnsi="Courier New"/>
          <w:color w:val="2D3748"/>
          <w:sz w:val="19"/>
        </w:rPr>
        <w:t>DB_USER=&lt;read-only SQL user&gt;</w:t>
      </w:r>
    </w:p>
    <w:p>
      <w:pPr>
        <w:ind w:left="720"/>
      </w:pPr>
      <w:r>
        <w:rPr>
          <w:rFonts w:ascii="Courier New" w:hAnsi="Courier New"/>
          <w:color w:val="2D3748"/>
          <w:sz w:val="19"/>
        </w:rPr>
        <w:t>DB_PASSWORD=&lt;provided&gt;</w:t>
      </w:r>
    </w:p>
    <w:p>
      <w:pPr>
        <w:ind w:left="720"/>
      </w:pPr>
      <w:r>
        <w:rPr>
          <w:rFonts w:ascii="Courier New" w:hAnsi="Courier New"/>
          <w:color w:val="2D3748"/>
          <w:sz w:val="19"/>
        </w:rPr>
      </w:r>
    </w:p>
    <w:p>
      <w:pPr>
        <w:ind w:left="720"/>
      </w:pPr>
      <w:r>
        <w:rPr>
          <w:rFonts w:ascii="Courier New" w:hAnsi="Courier New"/>
          <w:color w:val="2D3748"/>
          <w:sz w:val="19"/>
        </w:rPr>
        <w:t># PanelIQ_Users — application database</w:t>
      </w:r>
    </w:p>
    <w:p>
      <w:pPr>
        <w:ind w:left="720"/>
      </w:pPr>
      <w:r>
        <w:rPr>
          <w:rFonts w:ascii="Courier New" w:hAnsi="Courier New"/>
          <w:color w:val="2D3748"/>
          <w:sz w:val="19"/>
        </w:rPr>
        <w:t>PANELIQ_DB_SERVER=&lt;server address&gt;</w:t>
      </w:r>
    </w:p>
    <w:p>
      <w:pPr>
        <w:ind w:left="720"/>
      </w:pPr>
      <w:r>
        <w:rPr>
          <w:rFonts w:ascii="Courier New" w:hAnsi="Courier New"/>
          <w:color w:val="2D3748"/>
          <w:sz w:val="19"/>
        </w:rPr>
        <w:t>PANELIQ_DB_NAME=PanelIQ_Users</w:t>
      </w:r>
    </w:p>
    <w:p>
      <w:pPr>
        <w:ind w:left="720"/>
      </w:pPr>
      <w:r>
        <w:rPr>
          <w:rFonts w:ascii="Courier New" w:hAnsi="Courier New"/>
          <w:color w:val="2D3748"/>
          <w:sz w:val="19"/>
        </w:rPr>
        <w:t>PANELIQ_DB_USER=&lt;read-write SQL user&gt;</w:t>
      </w:r>
    </w:p>
    <w:p>
      <w:pPr>
        <w:ind w:left="720"/>
      </w:pPr>
      <w:r>
        <w:rPr>
          <w:rFonts w:ascii="Courier New" w:hAnsi="Courier New"/>
          <w:color w:val="2D3748"/>
          <w:sz w:val="19"/>
        </w:rPr>
        <w:t>PANELIQ_DB_PASSWORD=&lt;provided by IT&gt;</w:t>
      </w:r>
    </w:p>
    <w:p/>
    <w:p>
      <w:pPr>
        <w:pStyle w:val="Heading1"/>
      </w:pPr>
      <w:r>
        <w:rPr>
          <w:color w:val="1A3A5C"/>
        </w:rPr>
        <w:t>7.  Suggested Nginx Configuration</w:t>
      </w:r>
    </w:p>
    <w:p>
      <w:r>
        <w:t>The following Nginx configuration routes all traffic through a single subdomain. Requests to /api/ are proxied to the FastAPI backend on port 8000. All other requests serve the React frontend static files.</w:t>
      </w:r>
    </w:p>
    <w:p>
      <w:pPr>
        <w:ind w:left="720"/>
      </w:pPr>
      <w:r>
        <w:rPr>
          <w:rFonts w:ascii="Courier New" w:hAnsi="Courier New"/>
          <w:color w:val="2D3748"/>
          <w:sz w:val="19"/>
        </w:rPr>
        <w:t>server {</w:t>
      </w:r>
    </w:p>
    <w:p>
      <w:pPr>
        <w:ind w:left="720"/>
      </w:pPr>
      <w:r>
        <w:rPr>
          <w:rFonts w:ascii="Courier New" w:hAnsi="Courier New"/>
          <w:color w:val="2D3748"/>
          <w:sz w:val="19"/>
        </w:rPr>
        <w:t xml:space="preserve">    listen 80;</w:t>
      </w:r>
    </w:p>
    <w:p>
      <w:pPr>
        <w:ind w:left="720"/>
      </w:pPr>
      <w:r>
        <w:rPr>
          <w:rFonts w:ascii="Courier New" w:hAnsi="Courier New"/>
          <w:color w:val="2D3748"/>
          <w:sz w:val="19"/>
        </w:rPr>
        <w:t xml:space="preserve">    server_name paneliq.borderlessaccess.com;</w:t>
      </w:r>
    </w:p>
    <w:p>
      <w:pPr>
        <w:ind w:left="720"/>
      </w:pPr>
      <w:r>
        <w:rPr>
          <w:rFonts w:ascii="Courier New" w:hAnsi="Courier New"/>
          <w:color w:val="2D3748"/>
          <w:sz w:val="19"/>
        </w:rPr>
        <w:t xml:space="preserve">    return 301 https://$host$request_uri;</w:t>
      </w:r>
    </w:p>
    <w:p>
      <w:pPr>
        <w:ind w:left="720"/>
      </w:pPr>
      <w:r>
        <w:rPr>
          <w:rFonts w:ascii="Courier New" w:hAnsi="Courier New"/>
          <w:color w:val="2D3748"/>
          <w:sz w:val="19"/>
        </w:rPr>
        <w:t>}</w:t>
      </w:r>
    </w:p>
    <w:p>
      <w:pPr>
        <w:ind w:left="720"/>
      </w:pPr>
      <w:r>
        <w:rPr>
          <w:rFonts w:ascii="Courier New" w:hAnsi="Courier New"/>
          <w:color w:val="2D3748"/>
          <w:sz w:val="19"/>
        </w:rPr>
      </w:r>
    </w:p>
    <w:p>
      <w:pPr>
        <w:ind w:left="720"/>
      </w:pPr>
      <w:r>
        <w:rPr>
          <w:rFonts w:ascii="Courier New" w:hAnsi="Courier New"/>
          <w:color w:val="2D3748"/>
          <w:sz w:val="19"/>
        </w:rPr>
        <w:t>server {</w:t>
      </w:r>
    </w:p>
    <w:p>
      <w:pPr>
        <w:ind w:left="720"/>
      </w:pPr>
      <w:r>
        <w:rPr>
          <w:rFonts w:ascii="Courier New" w:hAnsi="Courier New"/>
          <w:color w:val="2D3748"/>
          <w:sz w:val="19"/>
        </w:rPr>
        <w:t xml:space="preserve">    listen 443 ssl;</w:t>
      </w:r>
    </w:p>
    <w:p>
      <w:pPr>
        <w:ind w:left="720"/>
      </w:pPr>
      <w:r>
        <w:rPr>
          <w:rFonts w:ascii="Courier New" w:hAnsi="Courier New"/>
          <w:color w:val="2D3748"/>
          <w:sz w:val="19"/>
        </w:rPr>
        <w:t xml:space="preserve">    server_name paneliq.borderlessaccess.com;</w:t>
      </w:r>
    </w:p>
    <w:p>
      <w:pPr>
        <w:ind w:left="720"/>
      </w:pPr>
      <w:r>
        <w:rPr>
          <w:rFonts w:ascii="Courier New" w:hAnsi="Courier New"/>
          <w:color w:val="2D3748"/>
          <w:sz w:val="19"/>
        </w:rPr>
      </w:r>
    </w:p>
    <w:p>
      <w:pPr>
        <w:ind w:left="720"/>
      </w:pPr>
      <w:r>
        <w:rPr>
          <w:rFonts w:ascii="Courier New" w:hAnsi="Courier New"/>
          <w:color w:val="2D3748"/>
          <w:sz w:val="19"/>
        </w:rPr>
        <w:t xml:space="preserve">    ssl_certificate     /path/to/certificate.crt;</w:t>
      </w:r>
    </w:p>
    <w:p>
      <w:pPr>
        <w:ind w:left="720"/>
      </w:pPr>
      <w:r>
        <w:rPr>
          <w:rFonts w:ascii="Courier New" w:hAnsi="Courier New"/>
          <w:color w:val="2D3748"/>
          <w:sz w:val="19"/>
        </w:rPr>
        <w:t xml:space="preserve">    ssl_certificate_key /path/to/certificate.key;</w:t>
      </w:r>
    </w:p>
    <w:p>
      <w:pPr>
        <w:ind w:left="720"/>
      </w:pPr>
      <w:r>
        <w:rPr>
          <w:rFonts w:ascii="Courier New" w:hAnsi="Courier New"/>
          <w:color w:val="2D3748"/>
          <w:sz w:val="19"/>
        </w:rPr>
      </w:r>
    </w:p>
    <w:p>
      <w:pPr>
        <w:ind w:left="720"/>
      </w:pPr>
      <w:r>
        <w:rPr>
          <w:rFonts w:ascii="Courier New" w:hAnsi="Courier New"/>
          <w:color w:val="2D3748"/>
          <w:sz w:val="19"/>
        </w:rPr>
        <w:t xml:space="preserve">    # Serve React frontend</w:t>
      </w:r>
    </w:p>
    <w:p>
      <w:pPr>
        <w:ind w:left="720"/>
      </w:pPr>
      <w:r>
        <w:rPr>
          <w:rFonts w:ascii="Courier New" w:hAnsi="Courier New"/>
          <w:color w:val="2D3748"/>
          <w:sz w:val="19"/>
        </w:rPr>
        <w:t xml:space="preserve">    root /var/www/paneliq/dist;</w:t>
      </w:r>
    </w:p>
    <w:p>
      <w:pPr>
        <w:ind w:left="720"/>
      </w:pPr>
      <w:r>
        <w:rPr>
          <w:rFonts w:ascii="Courier New" w:hAnsi="Courier New"/>
          <w:color w:val="2D3748"/>
          <w:sz w:val="19"/>
        </w:rPr>
        <w:t xml:space="preserve">    index index.html;</w:t>
      </w:r>
    </w:p>
    <w:p>
      <w:pPr>
        <w:ind w:left="720"/>
      </w:pPr>
      <w:r>
        <w:rPr>
          <w:rFonts w:ascii="Courier New" w:hAnsi="Courier New"/>
          <w:color w:val="2D3748"/>
          <w:sz w:val="19"/>
        </w:rPr>
      </w:r>
    </w:p>
    <w:p>
      <w:pPr>
        <w:ind w:left="720"/>
      </w:pPr>
      <w:r>
        <w:rPr>
          <w:rFonts w:ascii="Courier New" w:hAnsi="Courier New"/>
          <w:color w:val="2D3748"/>
          <w:sz w:val="19"/>
        </w:rPr>
        <w:t xml:space="preserve">    # React SPA routing</w:t>
      </w:r>
    </w:p>
    <w:p>
      <w:pPr>
        <w:ind w:left="720"/>
      </w:pPr>
      <w:r>
        <w:rPr>
          <w:rFonts w:ascii="Courier New" w:hAnsi="Courier New"/>
          <w:color w:val="2D3748"/>
          <w:sz w:val="19"/>
        </w:rPr>
        <w:t xml:space="preserve">    location / {</w:t>
      </w:r>
    </w:p>
    <w:p>
      <w:pPr>
        <w:ind w:left="720"/>
      </w:pPr>
      <w:r>
        <w:rPr>
          <w:rFonts w:ascii="Courier New" w:hAnsi="Courier New"/>
          <w:color w:val="2D3748"/>
          <w:sz w:val="19"/>
        </w:rPr>
        <w:t xml:space="preserve">        try_files $uri $uri/ /index.html;</w:t>
      </w:r>
    </w:p>
    <w:p>
      <w:pPr>
        <w:ind w:left="720"/>
      </w:pPr>
      <w:r>
        <w:rPr>
          <w:rFonts w:ascii="Courier New" w:hAnsi="Courier New"/>
          <w:color w:val="2D3748"/>
          <w:sz w:val="19"/>
        </w:rPr>
        <w:t xml:space="preserve">    }</w:t>
      </w:r>
    </w:p>
    <w:p>
      <w:pPr>
        <w:ind w:left="720"/>
      </w:pPr>
      <w:r>
        <w:rPr>
          <w:rFonts w:ascii="Courier New" w:hAnsi="Courier New"/>
          <w:color w:val="2D3748"/>
          <w:sz w:val="19"/>
        </w:rPr>
      </w:r>
    </w:p>
    <w:p>
      <w:pPr>
        <w:ind w:left="720"/>
      </w:pPr>
      <w:r>
        <w:rPr>
          <w:rFonts w:ascii="Courier New" w:hAnsi="Courier New"/>
          <w:color w:val="2D3748"/>
          <w:sz w:val="19"/>
        </w:rPr>
        <w:t xml:space="preserve">    # Proxy API calls to FastAPI backend</w:t>
      </w:r>
    </w:p>
    <w:p>
      <w:pPr>
        <w:ind w:left="720"/>
      </w:pPr>
      <w:r>
        <w:rPr>
          <w:rFonts w:ascii="Courier New" w:hAnsi="Courier New"/>
          <w:color w:val="2D3748"/>
          <w:sz w:val="19"/>
        </w:rPr>
        <w:t xml:space="preserve">    location /api/ {</w:t>
      </w:r>
    </w:p>
    <w:p>
      <w:pPr>
        <w:ind w:left="720"/>
      </w:pPr>
      <w:r>
        <w:rPr>
          <w:rFonts w:ascii="Courier New" w:hAnsi="Courier New"/>
          <w:color w:val="2D3748"/>
          <w:sz w:val="19"/>
        </w:rPr>
        <w:t xml:space="preserve">        proxy_pass http://127.0.0.1:8000/;</w:t>
      </w:r>
    </w:p>
    <w:p>
      <w:pPr>
        <w:ind w:left="720"/>
      </w:pPr>
      <w:r>
        <w:rPr>
          <w:rFonts w:ascii="Courier New" w:hAnsi="Courier New"/>
          <w:color w:val="2D3748"/>
          <w:sz w:val="19"/>
        </w:rPr>
        <w:t xml:space="preserve">        proxy_set_header Host $host;</w:t>
      </w:r>
    </w:p>
    <w:p>
      <w:pPr>
        <w:ind w:left="720"/>
      </w:pPr>
      <w:r>
        <w:rPr>
          <w:rFonts w:ascii="Courier New" w:hAnsi="Courier New"/>
          <w:color w:val="2D3748"/>
          <w:sz w:val="19"/>
        </w:rPr>
        <w:t xml:space="preserve">        proxy_set_header X-Real-IP $remote_addr;</w:t>
      </w:r>
    </w:p>
    <w:p>
      <w:pPr>
        <w:ind w:left="720"/>
      </w:pPr>
      <w:r>
        <w:rPr>
          <w:rFonts w:ascii="Courier New" w:hAnsi="Courier New"/>
          <w:color w:val="2D3748"/>
          <w:sz w:val="19"/>
        </w:rPr>
        <w:t xml:space="preserve">        proxy_read_timeout 120s;</w:t>
      </w:r>
    </w:p>
    <w:p>
      <w:pPr>
        <w:ind w:left="720"/>
      </w:pPr>
      <w:r>
        <w:rPr>
          <w:rFonts w:ascii="Courier New" w:hAnsi="Courier New"/>
          <w:color w:val="2D3748"/>
          <w:sz w:val="19"/>
        </w:rPr>
        <w:t xml:space="preserve">    }</w:t>
      </w:r>
    </w:p>
    <w:p>
      <w:pPr>
        <w:ind w:left="720"/>
      </w:pPr>
      <w:r>
        <w:rPr>
          <w:rFonts w:ascii="Courier New" w:hAnsi="Courier New"/>
          <w:color w:val="2D3748"/>
          <w:sz w:val="19"/>
        </w:rPr>
        <w:t>}</w:t>
      </w:r>
    </w:p>
    <w:p/>
    <w:p>
      <w:pPr>
        <w:pStyle w:val="Heading1"/>
      </w:pPr>
      <w:r>
        <w:rPr>
          <w:color w:val="1A3A5C"/>
        </w:rPr>
        <w:t>8.  Deployment Checklist for IT</w:t>
      </w:r>
    </w:p>
    <w:p>
      <w:r>
        <w:rPr>
          <w:b/>
          <w:color w:val="1A3A5C"/>
        </w:rPr>
        <w:t>Server &amp; Software</w:t>
      </w:r>
    </w:p>
    <w:p>
      <w:pPr>
        <w:pStyle w:val="ListBullet"/>
      </w:pPr>
      <w:r>
        <w:rPr>
          <w:sz w:val="21"/>
        </w:rPr>
        <w:t>☐  Provision server with the specifications in Section 2</w:t>
      </w:r>
    </w:p>
    <w:p>
      <w:pPr>
        <w:pStyle w:val="ListBullet"/>
      </w:pPr>
      <w:r>
        <w:rPr>
          <w:sz w:val="21"/>
        </w:rPr>
        <w:t>☐  Install Python 3.11+, pip, and ODBC Driver 17 for SQL Server</w:t>
      </w:r>
    </w:p>
    <w:p>
      <w:pPr>
        <w:pStyle w:val="ListBullet"/>
      </w:pPr>
      <w:r>
        <w:rPr>
          <w:sz w:val="21"/>
        </w:rPr>
        <w:t>☐  Install Node.js 18+ (for the one-time frontend build)</w:t>
      </w:r>
    </w:p>
    <w:p>
      <w:pPr>
        <w:pStyle w:val="ListBullet"/>
      </w:pPr>
      <w:r>
        <w:rPr>
          <w:sz w:val="21"/>
        </w:rPr>
        <w:t>☐  Install Nginx</w:t>
      </w:r>
    </w:p>
    <w:p>
      <w:pPr>
        <w:pStyle w:val="ListBullet"/>
      </w:pPr>
      <w:r>
        <w:rPr>
          <w:sz w:val="21"/>
        </w:rPr>
        <w:t>☐  Install NSSM (Windows only) to run FastAPI as a Windows Service</w:t>
      </w:r>
    </w:p>
    <w:p/>
    <w:p>
      <w:r>
        <w:rPr>
          <w:b/>
          <w:color w:val="1A3A5C"/>
        </w:rPr>
        <w:t>Network &amp; DNS</w:t>
      </w:r>
    </w:p>
    <w:p>
      <w:pPr>
        <w:pStyle w:val="ListBullet"/>
      </w:pPr>
      <w:r>
        <w:rPr>
          <w:sz w:val="21"/>
        </w:rPr>
        <w:t>☐  Create subdomain paneliq.borderlessaccess.com and point to server IP</w:t>
      </w:r>
    </w:p>
    <w:p>
      <w:pPr>
        <w:pStyle w:val="ListBullet"/>
      </w:pPr>
      <w:r>
        <w:rPr>
          <w:sz w:val="21"/>
        </w:rPr>
        <w:t>☐  Issue and install SSL certificate for the subdomain</w:t>
      </w:r>
    </w:p>
    <w:p>
      <w:pPr>
        <w:pStyle w:val="ListBullet"/>
      </w:pPr>
      <w:r>
        <w:rPr>
          <w:sz w:val="21"/>
        </w:rPr>
        <w:t>☐  Configure HTTP → HTTPS redirect (port 80 → 443)</w:t>
      </w:r>
    </w:p>
    <w:p>
      <w:pPr>
        <w:pStyle w:val="ListBullet"/>
      </w:pPr>
      <w:r>
        <w:rPr>
          <w:sz w:val="21"/>
        </w:rPr>
        <w:t>☐  Open outbound firewall rule: server → 10.20.30.12:1433 (SQL Server)</w:t>
      </w:r>
    </w:p>
    <w:p>
      <w:pPr>
        <w:pStyle w:val="ListBullet"/>
      </w:pPr>
      <w:r>
        <w:rPr>
          <w:sz w:val="21"/>
        </w:rPr>
        <w:t>☐  Open outbound firewall rule: server → api.anthropic.com:443 (Claude AI API)</w:t>
      </w:r>
    </w:p>
    <w:p/>
    <w:p>
      <w:r>
        <w:rPr>
          <w:b/>
          <w:color w:val="1A3A5C"/>
        </w:rPr>
        <w:t>Databases</w:t>
      </w:r>
    </w:p>
    <w:p>
      <w:pPr>
        <w:pStyle w:val="ListBullet"/>
      </w:pPr>
      <w:r>
        <w:rPr>
          <w:sz w:val="21"/>
        </w:rPr>
        <w:t>☐  Confirm KpiReports read-only access (KPIUser) is reachable from the new server</w:t>
      </w:r>
    </w:p>
    <w:p>
      <w:pPr>
        <w:pStyle w:val="ListBullet"/>
      </w:pPr>
      <w:r>
        <w:rPr>
          <w:sz w:val="21"/>
        </w:rPr>
        <w:t>☐  Create PanelIQ_Users database with a dedicated read/write SQL login</w:t>
      </w:r>
    </w:p>
    <w:p>
      <w:pPr>
        <w:pStyle w:val="ListBullet"/>
      </w:pPr>
      <w:r>
        <w:rPr>
          <w:sz w:val="21"/>
        </w:rPr>
        <w:t>☐  Share new DB server address and credentials with BA Analytics team</w:t>
      </w:r>
    </w:p>
    <w:p/>
    <w:p>
      <w:r>
        <w:rPr>
          <w:b/>
          <w:color w:val="1A3A5C"/>
        </w:rPr>
        <w:t>Handover</w:t>
      </w:r>
    </w:p>
    <w:p>
      <w:pPr>
        <w:pStyle w:val="ListBullet"/>
      </w:pPr>
      <w:r>
        <w:rPr>
          <w:sz w:val="21"/>
        </w:rPr>
        <w:t>☐  Provide server access (RDP or SSH) to BA Analytics team for application deployment</w:t>
      </w:r>
    </w:p>
    <w:p>
      <w:pPr>
        <w:pStyle w:val="ListBullet"/>
      </w:pPr>
      <w:r>
        <w:rPr>
          <w:sz w:val="21"/>
        </w:rPr>
        <w:t>☐  Confirm environment variables have been set on the server</w:t>
      </w:r>
    </w:p>
    <w:p>
      <w:pPr>
        <w:pStyle w:val="ListBullet"/>
      </w:pPr>
      <w:r>
        <w:rPr>
          <w:sz w:val="21"/>
        </w:rPr>
        <w:t>☐  Share SSL certificate paths with BA Analytics team for Nginx configuration</w:t>
      </w:r>
    </w:p>
    <w:p/>
    <w:p>
      <w:pPr>
        <w:pStyle w:val="Heading1"/>
      </w:pPr>
      <w:r>
        <w:rPr>
          <w:color w:val="1A3A5C"/>
        </w:rPr>
        <w:t>9.  Questions for IT</w:t>
      </w:r>
    </w:p>
    <w:p>
      <w:r>
        <w:rPr>
          <w:b/>
          <w:color w:val="1A3A5C"/>
          <w:sz w:val="22"/>
        </w:rPr>
        <w:t>1.  OS Preference</w:t>
      </w:r>
    </w:p>
    <w:p>
      <w:pPr>
        <w:ind w:left="432"/>
      </w:pPr>
      <w:r>
        <w:rPr>
          <w:sz w:val="21"/>
        </w:rPr>
        <w:t>Is Windows Server or Linux (Ubuntu) preferred for this deployment?</w:t>
      </w:r>
    </w:p>
    <w:p/>
    <w:p>
      <w:r>
        <w:rPr>
          <w:b/>
          <w:color w:val="1A3A5C"/>
          <w:sz w:val="22"/>
        </w:rPr>
        <w:t>2.  Database Server</w:t>
      </w:r>
    </w:p>
    <w:p>
      <w:pPr>
        <w:ind w:left="432"/>
      </w:pPr>
      <w:r>
        <w:rPr>
          <w:sz w:val="21"/>
        </w:rPr>
        <w:t>Should the PanelIQ_Users database be created on the same SQL Server instance as KpiReports (10.20.30.12), or a separate server?</w:t>
      </w:r>
    </w:p>
    <w:p/>
    <w:p>
      <w:r>
        <w:rPr>
          <w:b/>
          <w:color w:val="1A3A5C"/>
          <w:sz w:val="22"/>
        </w:rPr>
        <w:t>3.  Access Scope</w:t>
      </w:r>
    </w:p>
    <w:p>
      <w:pPr>
        <w:ind w:left="432"/>
      </w:pPr>
      <w:r>
        <w:rPr>
          <w:sz w:val="21"/>
        </w:rPr>
        <w:t>Should paneliq.borderlessaccess.com be accessible internally only, or also externally (VPN-only vs public)?</w:t>
      </w:r>
    </w:p>
    <w:p/>
    <w:p>
      <w:r>
        <w:rPr>
          <w:b/>
          <w:color w:val="1A3A5C"/>
          <w:sz w:val="22"/>
        </w:rPr>
        <w:t>4.  SSL Certificates</w:t>
      </w:r>
    </w:p>
    <w:p>
      <w:pPr>
        <w:ind w:left="432"/>
      </w:pPr>
      <w:r>
        <w:rPr>
          <w:sz w:val="21"/>
        </w:rPr>
        <w:t>Who manages SSL certificates at BA — IT team or a specific infrastructure/security team?</w:t>
      </w:r>
    </w:p>
    <w:p/>
    <w:p>
      <w:r>
        <w:rPr>
          <w:b/>
          <w:color w:val="1A3A5C"/>
          <w:sz w:val="22"/>
        </w:rPr>
        <w:t>5.  Firewall / Proxy</w:t>
      </w:r>
    </w:p>
    <w:p>
      <w:pPr>
        <w:ind w:left="432"/>
      </w:pPr>
      <w:r>
        <w:rPr>
          <w:sz w:val="21"/>
        </w:rPr>
        <w:t>Is there a web proxy or firewall that would block outbound HTTPS to api.anthropic.com? This must be confirmed before deployment.</w:t>
      </w:r>
    </w:p>
    <w:p/>
    <w:p>
      <w:r>
        <w:rPr>
          <w:b/>
          <w:color w:val="1A3A5C"/>
          <w:sz w:val="22"/>
        </w:rPr>
        <w:t>6.  Server Provisioning Timeline</w:t>
      </w:r>
    </w:p>
    <w:p>
      <w:pPr>
        <w:ind w:left="432"/>
      </w:pPr>
      <w:r>
        <w:rPr>
          <w:sz w:val="21"/>
        </w:rPr>
        <w:t>What is the expected timeline for provisioning the server and creating the subdomain?</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